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CB2E7B" w:rsidRDefault="00C02AF0" w:rsidP="00625340">
      <w:pPr>
        <w:spacing w:after="0" w:line="360" w:lineRule="auto"/>
        <w:jc w:val="both"/>
        <w:rPr>
          <w:rFonts w:ascii="Palatino Linotype" w:hAnsi="Palatino Linotype" w:cs="Arial"/>
          <w:b/>
          <w:sz w:val="24"/>
          <w:szCs w:val="24"/>
        </w:rPr>
      </w:pPr>
      <w:r w:rsidRPr="00CB2E7B">
        <w:rPr>
          <w:rFonts w:ascii="Palatino Linotype" w:hAnsi="Palatino Linotype" w:cs="Arial"/>
          <w:b/>
          <w:sz w:val="24"/>
          <w:szCs w:val="24"/>
        </w:rPr>
        <w:t>VOTO</w:t>
      </w:r>
      <w:r w:rsidR="00625340" w:rsidRPr="00CB2E7B">
        <w:rPr>
          <w:rFonts w:ascii="Palatino Linotype" w:hAnsi="Palatino Linotype" w:cs="Arial"/>
          <w:b/>
          <w:sz w:val="24"/>
          <w:szCs w:val="24"/>
        </w:rPr>
        <w:t xml:space="preserve"> PARTICULAR DEL COMISIONADO JOSÉ GUADALUPE LUNA HERNÁNDEZ EN EL RECURSO DE REVISIÓN </w:t>
      </w:r>
      <w:r w:rsidR="000E08D9">
        <w:rPr>
          <w:rFonts w:ascii="Palatino Linotype" w:hAnsi="Palatino Linotype" w:cs="Arial"/>
          <w:b/>
          <w:sz w:val="24"/>
          <w:szCs w:val="24"/>
        </w:rPr>
        <w:t>02824</w:t>
      </w:r>
      <w:r w:rsidR="00625340" w:rsidRPr="00CB2E7B">
        <w:rPr>
          <w:rFonts w:ascii="Palatino Linotype" w:hAnsi="Palatino Linotype" w:cs="Arial"/>
          <w:b/>
          <w:sz w:val="24"/>
          <w:szCs w:val="24"/>
        </w:rPr>
        <w:t>/INFOEM/IP/RR/201</w:t>
      </w:r>
      <w:r w:rsidR="00C142A8" w:rsidRPr="00CB2E7B">
        <w:rPr>
          <w:rFonts w:ascii="Palatino Linotype" w:hAnsi="Palatino Linotype" w:cs="Arial"/>
          <w:b/>
          <w:sz w:val="24"/>
          <w:szCs w:val="24"/>
        </w:rPr>
        <w:t>8</w:t>
      </w:r>
      <w:r w:rsidR="00D42114" w:rsidRPr="00CB2E7B">
        <w:rPr>
          <w:rFonts w:ascii="Palatino Linotype" w:hAnsi="Palatino Linotype" w:cs="Arial"/>
          <w:b/>
          <w:sz w:val="24"/>
          <w:szCs w:val="24"/>
        </w:rPr>
        <w:t>.</w:t>
      </w:r>
    </w:p>
    <w:p w:rsidR="00625340" w:rsidRPr="00CB2E7B" w:rsidRDefault="00625340" w:rsidP="00625340">
      <w:pPr>
        <w:spacing w:after="0" w:line="360" w:lineRule="auto"/>
        <w:jc w:val="both"/>
        <w:rPr>
          <w:rFonts w:ascii="Palatino Linotype" w:hAnsi="Palatino Linotype" w:cs="Arial"/>
          <w:b/>
          <w:sz w:val="24"/>
          <w:szCs w:val="24"/>
        </w:rPr>
      </w:pPr>
    </w:p>
    <w:p w:rsidR="00590F11" w:rsidRPr="00943EF6" w:rsidRDefault="002D5499" w:rsidP="009A3F37">
      <w:pPr>
        <w:spacing w:after="0" w:line="360" w:lineRule="auto"/>
        <w:jc w:val="both"/>
        <w:rPr>
          <w:rFonts w:ascii="Palatino Linotype" w:hAnsi="Palatino Linotype" w:cs="Arial"/>
          <w:sz w:val="24"/>
          <w:szCs w:val="24"/>
        </w:rPr>
      </w:pPr>
      <w:r w:rsidRPr="00CB2E7B">
        <w:rPr>
          <w:rFonts w:ascii="Palatino Linotype" w:hAnsi="Palatino Linotype" w:cs="Arial"/>
          <w:b/>
          <w:sz w:val="24"/>
          <w:szCs w:val="24"/>
        </w:rPr>
        <w:t>Resumen del voto</w:t>
      </w:r>
      <w:r w:rsidR="00625340" w:rsidRPr="00CB2E7B">
        <w:rPr>
          <w:rFonts w:ascii="Palatino Linotype" w:hAnsi="Palatino Linotype" w:cs="Arial"/>
          <w:b/>
          <w:sz w:val="24"/>
          <w:szCs w:val="24"/>
        </w:rPr>
        <w:t>:</w:t>
      </w:r>
      <w:r w:rsidR="001A542A">
        <w:rPr>
          <w:rFonts w:ascii="Palatino Linotype" w:hAnsi="Palatino Linotype" w:cs="Arial"/>
          <w:b/>
          <w:sz w:val="24"/>
          <w:szCs w:val="24"/>
        </w:rPr>
        <w:t xml:space="preserve"> </w:t>
      </w:r>
      <w:r w:rsidR="00943EF6">
        <w:rPr>
          <w:rFonts w:ascii="Palatino Linotype" w:hAnsi="Palatino Linotype" w:cs="Arial"/>
          <w:sz w:val="24"/>
          <w:szCs w:val="24"/>
        </w:rPr>
        <w:t>P</w:t>
      </w:r>
      <w:r w:rsidR="00943EF6" w:rsidRPr="00DD323C">
        <w:rPr>
          <w:rFonts w:ascii="Palatino Linotype" w:hAnsi="Palatino Linotype" w:cs="Arial"/>
          <w:sz w:val="24"/>
          <w:szCs w:val="24"/>
        </w:rPr>
        <w:t>ese a que el sentido de la resolución ordene un sobreseimiento y estar a lo dispuesto a un recurso de revisión que se resolvió con anterioridad</w:t>
      </w:r>
      <w:r w:rsidR="00943EF6">
        <w:rPr>
          <w:rFonts w:ascii="Palatino Linotype" w:hAnsi="Palatino Linotype" w:cs="Arial"/>
          <w:sz w:val="24"/>
          <w:szCs w:val="24"/>
        </w:rPr>
        <w:t>,</w:t>
      </w:r>
      <w:r w:rsidR="00943EF6" w:rsidRPr="00DD323C">
        <w:rPr>
          <w:rFonts w:ascii="Palatino Linotype" w:hAnsi="Palatino Linotype" w:cs="Arial"/>
          <w:sz w:val="24"/>
          <w:szCs w:val="24"/>
        </w:rPr>
        <w:t xml:space="preserve"> por mostrar identidad tanto de re</w:t>
      </w:r>
      <w:r w:rsidR="00943EF6">
        <w:rPr>
          <w:rFonts w:ascii="Palatino Linotype" w:hAnsi="Palatino Linotype" w:cs="Arial"/>
          <w:sz w:val="24"/>
          <w:szCs w:val="24"/>
        </w:rPr>
        <w:t>querimientos como de las partes, e</w:t>
      </w:r>
      <w:r w:rsidR="00DD323C" w:rsidRPr="00DD323C">
        <w:rPr>
          <w:rFonts w:ascii="Palatino Linotype" w:hAnsi="Palatino Linotype" w:cs="Arial"/>
          <w:sz w:val="24"/>
          <w:szCs w:val="24"/>
        </w:rPr>
        <w:t xml:space="preserve">n aquellos casos en que los Sujetos Obligados </w:t>
      </w:r>
      <w:r w:rsidR="00DD323C" w:rsidRPr="00943EF6">
        <w:rPr>
          <w:rFonts w:ascii="Palatino Linotype" w:hAnsi="Palatino Linotype" w:cs="Arial"/>
          <w:b/>
          <w:sz w:val="24"/>
          <w:szCs w:val="24"/>
        </w:rPr>
        <w:t>no</w:t>
      </w:r>
      <w:r w:rsidR="00DD323C" w:rsidRPr="00DD323C">
        <w:rPr>
          <w:rFonts w:ascii="Palatino Linotype" w:hAnsi="Palatino Linotype" w:cs="Arial"/>
          <w:sz w:val="24"/>
          <w:szCs w:val="24"/>
        </w:rPr>
        <w:t xml:space="preserve"> den respuesta a las solicitudes de acceso a la información que formulen los particulares</w:t>
      </w:r>
      <w:r w:rsidR="00DD323C">
        <w:rPr>
          <w:rFonts w:ascii="Palatino Linotype" w:hAnsi="Palatino Linotype" w:cs="Arial"/>
          <w:b/>
          <w:sz w:val="24"/>
          <w:szCs w:val="24"/>
        </w:rPr>
        <w:t xml:space="preserve">, </w:t>
      </w:r>
      <w:r w:rsidR="00DD323C" w:rsidRPr="00DD323C">
        <w:rPr>
          <w:rFonts w:ascii="Palatino Linotype" w:hAnsi="Palatino Linotype" w:cs="Arial"/>
          <w:sz w:val="24"/>
          <w:szCs w:val="24"/>
        </w:rPr>
        <w:t>se debe dar vista a los órganos de control interno</w:t>
      </w:r>
      <w:r w:rsidR="00DD323C">
        <w:rPr>
          <w:rFonts w:ascii="Palatino Linotype" w:hAnsi="Palatino Linotype" w:cs="Arial"/>
          <w:sz w:val="24"/>
          <w:szCs w:val="24"/>
        </w:rPr>
        <w:t>, esto</w:t>
      </w:r>
      <w:r w:rsidR="00943EF6">
        <w:rPr>
          <w:rFonts w:ascii="Palatino Linotype" w:hAnsi="Palatino Linotype" w:cs="Arial"/>
          <w:sz w:val="24"/>
          <w:szCs w:val="24"/>
        </w:rPr>
        <w:t>,</w:t>
      </w:r>
      <w:r w:rsidR="00DD323C" w:rsidRPr="00DD323C">
        <w:rPr>
          <w:rFonts w:ascii="Palatino Linotype" w:hAnsi="Palatino Linotype" w:cs="Arial"/>
          <w:sz w:val="24"/>
          <w:szCs w:val="24"/>
        </w:rPr>
        <w:t xml:space="preserve"> de acuerdo a lo dispuesto por </w:t>
      </w:r>
      <w:r w:rsidR="00943EF6">
        <w:rPr>
          <w:rFonts w:ascii="Palatino Linotype" w:hAnsi="Palatino Linotype" w:cs="Arial"/>
          <w:sz w:val="24"/>
          <w:szCs w:val="24"/>
        </w:rPr>
        <w:t>los</w:t>
      </w:r>
      <w:r w:rsidR="00DD323C" w:rsidRPr="00DD323C">
        <w:rPr>
          <w:rFonts w:ascii="Palatino Linotype" w:hAnsi="Palatino Linotype" w:cs="Arial"/>
          <w:sz w:val="24"/>
          <w:szCs w:val="24"/>
        </w:rPr>
        <w:t xml:space="preserve"> artículo</w:t>
      </w:r>
      <w:r w:rsidR="00943EF6">
        <w:rPr>
          <w:rFonts w:ascii="Palatino Linotype" w:hAnsi="Palatino Linotype" w:cs="Arial"/>
          <w:sz w:val="24"/>
          <w:szCs w:val="24"/>
        </w:rPr>
        <w:t>s</w:t>
      </w:r>
      <w:r w:rsidR="00DD323C" w:rsidRPr="00DD323C">
        <w:rPr>
          <w:rFonts w:ascii="Palatino Linotype" w:hAnsi="Palatino Linotype" w:cs="Arial"/>
          <w:sz w:val="24"/>
          <w:szCs w:val="24"/>
        </w:rPr>
        <w:t xml:space="preserve"> 222 y 223 de la Ley de Transparencia y Acceso a la Información Pública del Estado de M</w:t>
      </w:r>
      <w:r w:rsidR="00943EF6">
        <w:rPr>
          <w:rFonts w:ascii="Palatino Linotype" w:hAnsi="Palatino Linotype" w:cs="Arial"/>
          <w:sz w:val="24"/>
          <w:szCs w:val="24"/>
        </w:rPr>
        <w:t xml:space="preserve">éxico y Municipios, toda vez que tienen la obligación de dar atención a todas las solicitudes que reciban en aras de </w:t>
      </w:r>
      <w:r w:rsidR="00943EF6" w:rsidRPr="00943EF6">
        <w:rPr>
          <w:rFonts w:ascii="Palatino Linotype" w:eastAsia="Calibri" w:hAnsi="Palatino Linotype" w:cs="Times New Roman"/>
          <w:b/>
          <w:sz w:val="24"/>
          <w:lang w:val="es-ES"/>
        </w:rPr>
        <w:t>promover, respetar, proteger y garantizar</w:t>
      </w:r>
      <w:r w:rsidR="00943EF6">
        <w:rPr>
          <w:rFonts w:ascii="Palatino Linotype" w:eastAsia="Calibri" w:hAnsi="Palatino Linotype" w:cs="Times New Roman"/>
          <w:b/>
          <w:sz w:val="24"/>
          <w:lang w:val="es-ES"/>
        </w:rPr>
        <w:t xml:space="preserve"> </w:t>
      </w:r>
      <w:r w:rsidR="00943EF6" w:rsidRPr="00943EF6">
        <w:rPr>
          <w:rFonts w:ascii="Palatino Linotype" w:eastAsia="Calibri" w:hAnsi="Palatino Linotype" w:cs="Times New Roman"/>
          <w:sz w:val="24"/>
          <w:lang w:val="es-ES"/>
        </w:rPr>
        <w:t>el derecho de acceso a la información.</w:t>
      </w:r>
    </w:p>
    <w:p w:rsidR="003B4A57" w:rsidRPr="00CB2E7B" w:rsidRDefault="00D64289" w:rsidP="00625340">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54610</wp:posOffset>
                </wp:positionV>
                <wp:extent cx="5715000" cy="36195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1500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D70D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5pt,4.3pt" to="441.45pt,2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" strokecolor="#5b9bd5 [3204]" strokeweight=".5pt">
                <v:stroke joinstyle="miter"/>
              </v:line>
            </w:pict>
          </mc:Fallback>
        </mc:AlternateContent>
      </w:r>
    </w:p>
    <w:p w:rsidR="00C54DC0" w:rsidRPr="00CB2E7B" w:rsidRDefault="00C54DC0" w:rsidP="00C54DC0">
      <w:pPr>
        <w:spacing w:after="0" w:line="360" w:lineRule="auto"/>
        <w:jc w:val="both"/>
        <w:rPr>
          <w:rFonts w:ascii="Palatino Linotype" w:hAnsi="Palatino Linotype" w:cs="Arial"/>
          <w:sz w:val="24"/>
          <w:szCs w:val="24"/>
        </w:rPr>
      </w:pPr>
    </w:p>
    <w:p w:rsidR="00C54DC0" w:rsidRPr="00CB2E7B" w:rsidRDefault="00C54DC0" w:rsidP="00625340">
      <w:pPr>
        <w:spacing w:after="0" w:line="360" w:lineRule="auto"/>
        <w:jc w:val="both"/>
        <w:rPr>
          <w:rFonts w:ascii="Palatino Linotype" w:eastAsia="Calibri" w:hAnsi="Palatino Linotype" w:cs="Arial"/>
          <w:sz w:val="24"/>
          <w:szCs w:val="24"/>
        </w:rPr>
      </w:pPr>
    </w:p>
    <w:p w:rsidR="002D2CD0" w:rsidRPr="00CB2E7B" w:rsidRDefault="002D2CD0" w:rsidP="00625340">
      <w:pPr>
        <w:spacing w:after="0" w:line="360" w:lineRule="auto"/>
        <w:jc w:val="both"/>
        <w:rPr>
          <w:rFonts w:ascii="Palatino Linotype" w:eastAsia="Calibri" w:hAnsi="Palatino Linotype" w:cs="Arial"/>
          <w:sz w:val="24"/>
          <w:szCs w:val="24"/>
        </w:rPr>
      </w:pPr>
    </w:p>
    <w:p w:rsidR="002D2CD0" w:rsidRDefault="002D2CD0" w:rsidP="00625340">
      <w:pPr>
        <w:spacing w:after="0" w:line="360" w:lineRule="auto"/>
        <w:jc w:val="both"/>
        <w:rPr>
          <w:rFonts w:ascii="Palatino Linotype" w:eastAsia="Calibri" w:hAnsi="Palatino Linotype" w:cs="Arial"/>
          <w:sz w:val="24"/>
          <w:szCs w:val="24"/>
        </w:rPr>
      </w:pPr>
    </w:p>
    <w:p w:rsidR="001A542A" w:rsidRDefault="001A542A" w:rsidP="00625340">
      <w:pPr>
        <w:spacing w:after="0" w:line="360" w:lineRule="auto"/>
        <w:jc w:val="both"/>
        <w:rPr>
          <w:rFonts w:ascii="Palatino Linotype" w:eastAsia="Calibri" w:hAnsi="Palatino Linotype" w:cs="Arial"/>
          <w:sz w:val="24"/>
          <w:szCs w:val="24"/>
        </w:rPr>
      </w:pPr>
    </w:p>
    <w:p w:rsidR="001A542A" w:rsidRDefault="001A542A" w:rsidP="00625340">
      <w:pPr>
        <w:spacing w:after="0" w:line="360" w:lineRule="auto"/>
        <w:jc w:val="both"/>
        <w:rPr>
          <w:rFonts w:ascii="Palatino Linotype" w:eastAsia="Calibri" w:hAnsi="Palatino Linotype" w:cs="Arial"/>
          <w:sz w:val="24"/>
          <w:szCs w:val="24"/>
        </w:rPr>
      </w:pPr>
    </w:p>
    <w:p w:rsidR="00DD323C" w:rsidRDefault="00DD323C" w:rsidP="00625340">
      <w:pPr>
        <w:spacing w:after="0" w:line="360" w:lineRule="auto"/>
        <w:jc w:val="both"/>
        <w:rPr>
          <w:rFonts w:ascii="Palatino Linotype" w:eastAsia="Calibri" w:hAnsi="Palatino Linotype" w:cs="Arial"/>
          <w:sz w:val="24"/>
          <w:szCs w:val="24"/>
        </w:rPr>
      </w:pPr>
    </w:p>
    <w:sdt>
      <w:sdtPr>
        <w:rPr>
          <w:rFonts w:asciiTheme="minorHAnsi" w:eastAsiaTheme="minorHAnsi" w:hAnsiTheme="minorHAnsi" w:cstheme="minorBidi"/>
          <w:b w:val="0"/>
          <w:sz w:val="22"/>
          <w:szCs w:val="24"/>
          <w:lang w:val="es-ES" w:eastAsia="en-US"/>
        </w:rPr>
        <w:id w:val="-1339223820"/>
        <w:docPartObj>
          <w:docPartGallery w:val="Table of Contents"/>
          <w:docPartUnique/>
        </w:docPartObj>
      </w:sdtPr>
      <w:sdtEndPr>
        <w:rPr>
          <w:bCs/>
        </w:rPr>
      </w:sdtEndPr>
      <w:sdtContent>
        <w:p w:rsidR="00625340" w:rsidRPr="00CB2E7B" w:rsidRDefault="00625340">
          <w:pPr>
            <w:pStyle w:val="TtulodeTDC"/>
            <w:rPr>
              <w:szCs w:val="24"/>
            </w:rPr>
          </w:pPr>
          <w:r w:rsidRPr="00CB2E7B">
            <w:rPr>
              <w:szCs w:val="24"/>
              <w:lang w:val="es-ES"/>
            </w:rPr>
            <w:t>Índice</w:t>
          </w:r>
        </w:p>
        <w:p w:rsidR="00DD323C" w:rsidRDefault="00625340">
          <w:pPr>
            <w:pStyle w:val="TDC1"/>
            <w:tabs>
              <w:tab w:val="left" w:pos="440"/>
              <w:tab w:val="right" w:leader="dot" w:pos="8828"/>
            </w:tabs>
            <w:rPr>
              <w:rFonts w:eastAsiaTheme="minorEastAsia"/>
              <w:noProof/>
              <w:lang w:eastAsia="es-MX"/>
            </w:rPr>
          </w:pPr>
          <w:r w:rsidRPr="00CB2E7B">
            <w:rPr>
              <w:rFonts w:ascii="Palatino Linotype" w:hAnsi="Palatino Linotype"/>
              <w:b/>
              <w:sz w:val="24"/>
              <w:szCs w:val="24"/>
            </w:rPr>
            <w:fldChar w:fldCharType="begin"/>
          </w:r>
          <w:r w:rsidRPr="00CB2E7B">
            <w:rPr>
              <w:rFonts w:ascii="Palatino Linotype" w:hAnsi="Palatino Linotype"/>
              <w:b/>
              <w:sz w:val="24"/>
              <w:szCs w:val="24"/>
            </w:rPr>
            <w:instrText xml:space="preserve"> TOC \o "1-3" \h \z \u </w:instrText>
          </w:r>
          <w:r w:rsidRPr="00CB2E7B">
            <w:rPr>
              <w:rFonts w:ascii="Palatino Linotype" w:hAnsi="Palatino Linotype"/>
              <w:b/>
              <w:sz w:val="24"/>
              <w:szCs w:val="24"/>
            </w:rPr>
            <w:fldChar w:fldCharType="separate"/>
          </w:r>
          <w:hyperlink w:anchor="_Toc525572199" w:history="1">
            <w:r w:rsidR="00DD323C" w:rsidRPr="00E321F7">
              <w:rPr>
                <w:rStyle w:val="Hipervnculo"/>
                <w:noProof/>
              </w:rPr>
              <w:t>A.</w:t>
            </w:r>
            <w:r w:rsidR="00DD323C">
              <w:rPr>
                <w:rFonts w:eastAsiaTheme="minorEastAsia"/>
                <w:noProof/>
                <w:lang w:eastAsia="es-MX"/>
              </w:rPr>
              <w:tab/>
            </w:r>
            <w:r w:rsidR="00DD323C" w:rsidRPr="00E321F7">
              <w:rPr>
                <w:rStyle w:val="Hipervnculo"/>
                <w:noProof/>
              </w:rPr>
              <w:t>Consideraciones Generales.</w:t>
            </w:r>
            <w:r w:rsidR="00DD323C">
              <w:rPr>
                <w:noProof/>
                <w:webHidden/>
              </w:rPr>
              <w:tab/>
            </w:r>
            <w:r w:rsidR="00DD323C">
              <w:rPr>
                <w:noProof/>
                <w:webHidden/>
              </w:rPr>
              <w:fldChar w:fldCharType="begin"/>
            </w:r>
            <w:r w:rsidR="00DD323C">
              <w:rPr>
                <w:noProof/>
                <w:webHidden/>
              </w:rPr>
              <w:instrText xml:space="preserve"> PAGEREF _Toc525572199 \h </w:instrText>
            </w:r>
            <w:r w:rsidR="00DD323C">
              <w:rPr>
                <w:noProof/>
                <w:webHidden/>
              </w:rPr>
            </w:r>
            <w:r w:rsidR="00DD323C">
              <w:rPr>
                <w:noProof/>
                <w:webHidden/>
              </w:rPr>
              <w:fldChar w:fldCharType="separate"/>
            </w:r>
            <w:r w:rsidR="00D64289">
              <w:rPr>
                <w:noProof/>
                <w:webHidden/>
              </w:rPr>
              <w:t>2</w:t>
            </w:r>
            <w:r w:rsidR="00DD323C">
              <w:rPr>
                <w:noProof/>
                <w:webHidden/>
              </w:rPr>
              <w:fldChar w:fldCharType="end"/>
            </w:r>
          </w:hyperlink>
        </w:p>
        <w:p w:rsidR="00DD323C" w:rsidRDefault="00931A12">
          <w:pPr>
            <w:pStyle w:val="TDC1"/>
            <w:tabs>
              <w:tab w:val="left" w:pos="440"/>
              <w:tab w:val="right" w:leader="dot" w:pos="8828"/>
            </w:tabs>
            <w:rPr>
              <w:rFonts w:eastAsiaTheme="minorEastAsia"/>
              <w:noProof/>
              <w:lang w:eastAsia="es-MX"/>
            </w:rPr>
          </w:pPr>
          <w:hyperlink w:anchor="_Toc525572200" w:history="1">
            <w:r w:rsidR="00DD323C" w:rsidRPr="00E321F7">
              <w:rPr>
                <w:rStyle w:val="Hipervnculo"/>
                <w:noProof/>
              </w:rPr>
              <w:t>B.</w:t>
            </w:r>
            <w:r w:rsidR="00DD323C">
              <w:rPr>
                <w:rFonts w:eastAsiaTheme="minorEastAsia"/>
                <w:noProof/>
                <w:lang w:eastAsia="es-MX"/>
              </w:rPr>
              <w:tab/>
            </w:r>
            <w:r w:rsidR="00DD323C" w:rsidRPr="00E321F7">
              <w:rPr>
                <w:rStyle w:val="Hipervnculo"/>
                <w:noProof/>
              </w:rPr>
              <w:t>Del sobreseimiento.</w:t>
            </w:r>
            <w:r w:rsidR="00DD323C">
              <w:rPr>
                <w:noProof/>
                <w:webHidden/>
              </w:rPr>
              <w:tab/>
            </w:r>
            <w:r w:rsidR="00DD323C">
              <w:rPr>
                <w:noProof/>
                <w:webHidden/>
              </w:rPr>
              <w:fldChar w:fldCharType="begin"/>
            </w:r>
            <w:r w:rsidR="00DD323C">
              <w:rPr>
                <w:noProof/>
                <w:webHidden/>
              </w:rPr>
              <w:instrText xml:space="preserve"> PAGEREF _Toc525572200 \h </w:instrText>
            </w:r>
            <w:r w:rsidR="00DD323C">
              <w:rPr>
                <w:noProof/>
                <w:webHidden/>
              </w:rPr>
            </w:r>
            <w:r w:rsidR="00DD323C">
              <w:rPr>
                <w:noProof/>
                <w:webHidden/>
              </w:rPr>
              <w:fldChar w:fldCharType="separate"/>
            </w:r>
            <w:r w:rsidR="00D64289">
              <w:rPr>
                <w:noProof/>
                <w:webHidden/>
              </w:rPr>
              <w:t>3</w:t>
            </w:r>
            <w:r w:rsidR="00DD323C">
              <w:rPr>
                <w:noProof/>
                <w:webHidden/>
              </w:rPr>
              <w:fldChar w:fldCharType="end"/>
            </w:r>
          </w:hyperlink>
        </w:p>
        <w:p w:rsidR="00DD323C" w:rsidRDefault="00931A12">
          <w:pPr>
            <w:pStyle w:val="TDC1"/>
            <w:tabs>
              <w:tab w:val="left" w:pos="440"/>
              <w:tab w:val="right" w:leader="dot" w:pos="8828"/>
            </w:tabs>
            <w:rPr>
              <w:rFonts w:eastAsiaTheme="minorEastAsia"/>
              <w:noProof/>
              <w:lang w:eastAsia="es-MX"/>
            </w:rPr>
          </w:pPr>
          <w:hyperlink w:anchor="_Toc525572201" w:history="1">
            <w:r w:rsidR="00DD323C" w:rsidRPr="00E321F7">
              <w:rPr>
                <w:rStyle w:val="Hipervnculo"/>
                <w:noProof/>
              </w:rPr>
              <w:t>C.</w:t>
            </w:r>
            <w:r w:rsidR="00DD323C">
              <w:rPr>
                <w:rFonts w:eastAsiaTheme="minorEastAsia"/>
                <w:noProof/>
                <w:lang w:eastAsia="es-MX"/>
              </w:rPr>
              <w:tab/>
            </w:r>
            <w:r w:rsidR="00DD323C" w:rsidRPr="00E321F7">
              <w:rPr>
                <w:rStyle w:val="Hipervnculo"/>
                <w:noProof/>
              </w:rPr>
              <w:t>La falta de respuesta a una solicitud de acceso a la información afecta el derecho humano, lo que debe de ser reparado.</w:t>
            </w:r>
            <w:r w:rsidR="00DD323C">
              <w:rPr>
                <w:noProof/>
                <w:webHidden/>
              </w:rPr>
              <w:tab/>
            </w:r>
            <w:r w:rsidR="00DD323C">
              <w:rPr>
                <w:noProof/>
                <w:webHidden/>
              </w:rPr>
              <w:fldChar w:fldCharType="begin"/>
            </w:r>
            <w:r w:rsidR="00DD323C">
              <w:rPr>
                <w:noProof/>
                <w:webHidden/>
              </w:rPr>
              <w:instrText xml:space="preserve"> PAGEREF _Toc525572201 \h </w:instrText>
            </w:r>
            <w:r w:rsidR="00DD323C">
              <w:rPr>
                <w:noProof/>
                <w:webHidden/>
              </w:rPr>
            </w:r>
            <w:r w:rsidR="00DD323C">
              <w:rPr>
                <w:noProof/>
                <w:webHidden/>
              </w:rPr>
              <w:fldChar w:fldCharType="separate"/>
            </w:r>
            <w:r w:rsidR="00D64289">
              <w:rPr>
                <w:noProof/>
                <w:webHidden/>
              </w:rPr>
              <w:t>3</w:t>
            </w:r>
            <w:r w:rsidR="00DD323C">
              <w:rPr>
                <w:noProof/>
                <w:webHidden/>
              </w:rPr>
              <w:fldChar w:fldCharType="end"/>
            </w:r>
          </w:hyperlink>
        </w:p>
        <w:p w:rsidR="00DD323C" w:rsidRDefault="00931A12">
          <w:pPr>
            <w:pStyle w:val="TDC1"/>
            <w:tabs>
              <w:tab w:val="left" w:pos="440"/>
              <w:tab w:val="right" w:leader="dot" w:pos="8828"/>
            </w:tabs>
            <w:rPr>
              <w:rFonts w:eastAsiaTheme="minorEastAsia"/>
              <w:noProof/>
              <w:lang w:eastAsia="es-MX"/>
            </w:rPr>
          </w:pPr>
          <w:hyperlink w:anchor="_Toc525572202" w:history="1">
            <w:r w:rsidR="00DD323C" w:rsidRPr="00E321F7">
              <w:rPr>
                <w:rStyle w:val="Hipervnculo"/>
                <w:noProof/>
              </w:rPr>
              <w:t>D.</w:t>
            </w:r>
            <w:r w:rsidR="00DD323C">
              <w:rPr>
                <w:rFonts w:eastAsiaTheme="minorEastAsia"/>
                <w:noProof/>
                <w:lang w:eastAsia="es-MX"/>
              </w:rPr>
              <w:tab/>
            </w:r>
            <w:r w:rsidR="00DD323C" w:rsidRPr="00E321F7">
              <w:rPr>
                <w:rStyle w:val="Hipervnculo"/>
                <w:noProof/>
              </w:rPr>
              <w:t>Vista a los órganos de control interno</w:t>
            </w:r>
            <w:r w:rsidR="00DD323C">
              <w:rPr>
                <w:noProof/>
                <w:webHidden/>
              </w:rPr>
              <w:tab/>
            </w:r>
            <w:r w:rsidR="00DD323C">
              <w:rPr>
                <w:noProof/>
                <w:webHidden/>
              </w:rPr>
              <w:fldChar w:fldCharType="begin"/>
            </w:r>
            <w:r w:rsidR="00DD323C">
              <w:rPr>
                <w:noProof/>
                <w:webHidden/>
              </w:rPr>
              <w:instrText xml:space="preserve"> PAGEREF _Toc525572202 \h </w:instrText>
            </w:r>
            <w:r w:rsidR="00DD323C">
              <w:rPr>
                <w:noProof/>
                <w:webHidden/>
              </w:rPr>
            </w:r>
            <w:r w:rsidR="00DD323C">
              <w:rPr>
                <w:noProof/>
                <w:webHidden/>
              </w:rPr>
              <w:fldChar w:fldCharType="separate"/>
            </w:r>
            <w:r w:rsidR="00D64289">
              <w:rPr>
                <w:noProof/>
                <w:webHidden/>
              </w:rPr>
              <w:t>9</w:t>
            </w:r>
            <w:r w:rsidR="00DD323C">
              <w:rPr>
                <w:noProof/>
                <w:webHidden/>
              </w:rPr>
              <w:fldChar w:fldCharType="end"/>
            </w:r>
          </w:hyperlink>
        </w:p>
        <w:p w:rsidR="00DD323C" w:rsidRDefault="00931A12">
          <w:pPr>
            <w:pStyle w:val="TDC1"/>
            <w:tabs>
              <w:tab w:val="left" w:pos="440"/>
              <w:tab w:val="right" w:leader="dot" w:pos="8828"/>
            </w:tabs>
            <w:rPr>
              <w:rFonts w:eastAsiaTheme="minorEastAsia"/>
              <w:noProof/>
              <w:lang w:eastAsia="es-MX"/>
            </w:rPr>
          </w:pPr>
          <w:hyperlink w:anchor="_Toc525572203" w:history="1">
            <w:r w:rsidR="00DD323C" w:rsidRPr="00E321F7">
              <w:rPr>
                <w:rStyle w:val="Hipervnculo"/>
                <w:noProof/>
              </w:rPr>
              <w:t>E.</w:t>
            </w:r>
            <w:r w:rsidR="00DD323C">
              <w:rPr>
                <w:rFonts w:eastAsiaTheme="minorEastAsia"/>
                <w:noProof/>
                <w:lang w:eastAsia="es-MX"/>
              </w:rPr>
              <w:tab/>
            </w:r>
            <w:r w:rsidR="00DD323C" w:rsidRPr="00E321F7">
              <w:rPr>
                <w:rStyle w:val="Hipervnculo"/>
                <w:noProof/>
              </w:rPr>
              <w:t>Conclusión.</w:t>
            </w:r>
            <w:r w:rsidR="00DD323C">
              <w:rPr>
                <w:noProof/>
                <w:webHidden/>
              </w:rPr>
              <w:tab/>
            </w:r>
            <w:r w:rsidR="00DD323C">
              <w:rPr>
                <w:noProof/>
                <w:webHidden/>
              </w:rPr>
              <w:fldChar w:fldCharType="begin"/>
            </w:r>
            <w:r w:rsidR="00DD323C">
              <w:rPr>
                <w:noProof/>
                <w:webHidden/>
              </w:rPr>
              <w:instrText xml:space="preserve"> PAGEREF _Toc525572203 \h </w:instrText>
            </w:r>
            <w:r w:rsidR="00DD323C">
              <w:rPr>
                <w:noProof/>
                <w:webHidden/>
              </w:rPr>
            </w:r>
            <w:r w:rsidR="00DD323C">
              <w:rPr>
                <w:noProof/>
                <w:webHidden/>
              </w:rPr>
              <w:fldChar w:fldCharType="separate"/>
            </w:r>
            <w:r w:rsidR="00D64289">
              <w:rPr>
                <w:noProof/>
                <w:webHidden/>
              </w:rPr>
              <w:t>11</w:t>
            </w:r>
            <w:r w:rsidR="00DD323C">
              <w:rPr>
                <w:noProof/>
                <w:webHidden/>
              </w:rPr>
              <w:fldChar w:fldCharType="end"/>
            </w:r>
          </w:hyperlink>
        </w:p>
        <w:p w:rsidR="00625340" w:rsidRPr="00CB2E7B" w:rsidRDefault="00625340">
          <w:pPr>
            <w:rPr>
              <w:rFonts w:ascii="Palatino Linotype" w:hAnsi="Palatino Linotype"/>
              <w:b/>
              <w:bCs/>
              <w:sz w:val="24"/>
              <w:szCs w:val="24"/>
              <w:lang w:val="es-ES"/>
            </w:rPr>
          </w:pPr>
          <w:r w:rsidRPr="00CB2E7B">
            <w:rPr>
              <w:rFonts w:ascii="Palatino Linotype" w:hAnsi="Palatino Linotype"/>
              <w:b/>
              <w:bCs/>
              <w:sz w:val="24"/>
              <w:szCs w:val="24"/>
              <w:lang w:val="es-ES"/>
            </w:rPr>
            <w:fldChar w:fldCharType="end"/>
          </w:r>
        </w:p>
      </w:sdtContent>
    </w:sdt>
    <w:p w:rsidR="0025332E" w:rsidRPr="00CB2E7B" w:rsidRDefault="0025332E" w:rsidP="0025332E">
      <w:pPr>
        <w:pStyle w:val="Ttulo1"/>
        <w:rPr>
          <w:szCs w:val="24"/>
        </w:rPr>
      </w:pPr>
    </w:p>
    <w:p w:rsidR="00625340" w:rsidRPr="00CB2E7B" w:rsidRDefault="00625340" w:rsidP="00530CB3">
      <w:pPr>
        <w:pStyle w:val="Ttulo1"/>
        <w:numPr>
          <w:ilvl w:val="0"/>
          <w:numId w:val="43"/>
        </w:numPr>
        <w:ind w:left="993" w:hanging="567"/>
        <w:rPr>
          <w:szCs w:val="24"/>
        </w:rPr>
      </w:pPr>
      <w:bookmarkStart w:id="0" w:name="_Toc525572199"/>
      <w:r w:rsidRPr="00CB2E7B">
        <w:rPr>
          <w:szCs w:val="24"/>
        </w:rPr>
        <w:t>Consideraciones Generales</w:t>
      </w:r>
      <w:r w:rsidR="004074C0" w:rsidRPr="00CB2E7B">
        <w:rPr>
          <w:szCs w:val="24"/>
        </w:rPr>
        <w:t>.</w:t>
      </w:r>
      <w:bookmarkEnd w:id="0"/>
    </w:p>
    <w:p w:rsidR="003431E5" w:rsidRPr="00CB2E7B" w:rsidRDefault="003431E5" w:rsidP="003431E5">
      <w:pPr>
        <w:rPr>
          <w:rFonts w:ascii="Palatino Linotype" w:hAnsi="Palatino Linotype"/>
          <w:sz w:val="24"/>
          <w:szCs w:val="24"/>
        </w:rPr>
      </w:pPr>
    </w:p>
    <w:p w:rsidR="00625340" w:rsidRPr="00CB2E7B" w:rsidRDefault="00703F02" w:rsidP="00530CB3">
      <w:pPr>
        <w:pStyle w:val="Prrafodelista"/>
        <w:numPr>
          <w:ilvl w:val="0"/>
          <w:numId w:val="11"/>
        </w:numPr>
        <w:spacing w:after="0" w:line="360" w:lineRule="auto"/>
        <w:ind w:left="426"/>
        <w:jc w:val="both"/>
        <w:rPr>
          <w:rFonts w:ascii="Palatino Linotype" w:hAnsi="Palatino Linotype" w:cs="Arial"/>
          <w:b/>
          <w:sz w:val="24"/>
          <w:szCs w:val="24"/>
        </w:rPr>
      </w:pPr>
      <w:r w:rsidRPr="00CB2E7B">
        <w:rPr>
          <w:rFonts w:ascii="Palatino Linotype" w:eastAsia="Times New Roman" w:hAnsi="Palatino Linotype" w:cs="Arial"/>
          <w:sz w:val="24"/>
          <w:szCs w:val="24"/>
          <w:lang w:val="es-ES_tradnl"/>
        </w:rPr>
        <w:t xml:space="preserve">He concurrido con mi </w:t>
      </w:r>
      <w:r w:rsidR="00C02AF0" w:rsidRPr="00CB2E7B">
        <w:rPr>
          <w:rFonts w:ascii="Palatino Linotype" w:eastAsia="Times New Roman" w:hAnsi="Palatino Linotype" w:cs="Arial"/>
          <w:sz w:val="24"/>
          <w:szCs w:val="24"/>
          <w:lang w:val="es-ES_tradnl"/>
        </w:rPr>
        <w:t>voto</w:t>
      </w:r>
      <w:r w:rsidR="00625340" w:rsidRPr="00CB2E7B">
        <w:rPr>
          <w:rFonts w:ascii="Palatino Linotype" w:eastAsia="Times New Roman" w:hAnsi="Palatino Linotype" w:cs="Arial"/>
          <w:sz w:val="24"/>
          <w:szCs w:val="24"/>
          <w:lang w:val="es-ES_tradnl"/>
        </w:rPr>
        <w:t xml:space="preserve"> particular de la presente resolución emitida </w:t>
      </w:r>
      <w:r w:rsidR="00625340" w:rsidRPr="00CB2E7B">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E08D9">
        <w:rPr>
          <w:rFonts w:ascii="Palatino Linotype" w:hAnsi="Palatino Linotype" w:cs="Arial"/>
          <w:sz w:val="24"/>
          <w:szCs w:val="24"/>
        </w:rPr>
        <w:t>Trigésimo Cuarta</w:t>
      </w:r>
      <w:r w:rsidR="00787C3A" w:rsidRPr="00CB2E7B">
        <w:rPr>
          <w:rFonts w:ascii="Palatino Linotype" w:hAnsi="Palatino Linotype" w:cs="Arial"/>
          <w:sz w:val="24"/>
          <w:szCs w:val="24"/>
        </w:rPr>
        <w:t xml:space="preserve"> </w:t>
      </w:r>
      <w:r w:rsidR="00D42114" w:rsidRPr="00CB2E7B">
        <w:rPr>
          <w:rFonts w:ascii="Palatino Linotype" w:hAnsi="Palatino Linotype" w:cs="Arial"/>
          <w:sz w:val="24"/>
          <w:szCs w:val="24"/>
        </w:rPr>
        <w:t>Sesión O</w:t>
      </w:r>
      <w:r w:rsidR="00F9751B" w:rsidRPr="00CB2E7B">
        <w:rPr>
          <w:rFonts w:ascii="Palatino Linotype" w:hAnsi="Palatino Linotype" w:cs="Arial"/>
          <w:sz w:val="24"/>
          <w:szCs w:val="24"/>
        </w:rPr>
        <w:t xml:space="preserve">rdinaria celebrada el </w:t>
      </w:r>
      <w:r w:rsidR="00175E9F" w:rsidRPr="00CB2E7B">
        <w:rPr>
          <w:rFonts w:ascii="Palatino Linotype" w:hAnsi="Palatino Linotype" w:cs="Arial"/>
          <w:sz w:val="24"/>
          <w:szCs w:val="24"/>
        </w:rPr>
        <w:t xml:space="preserve">día </w:t>
      </w:r>
      <w:r w:rsidR="000E08D9">
        <w:rPr>
          <w:rFonts w:ascii="Palatino Linotype" w:hAnsi="Palatino Linotype" w:cs="Arial"/>
          <w:sz w:val="24"/>
          <w:szCs w:val="24"/>
        </w:rPr>
        <w:t>diecinueve</w:t>
      </w:r>
      <w:r w:rsidR="00F9751B" w:rsidRPr="00CB2E7B">
        <w:rPr>
          <w:rFonts w:ascii="Palatino Linotype" w:hAnsi="Palatino Linotype" w:cs="Arial"/>
          <w:sz w:val="24"/>
          <w:szCs w:val="24"/>
        </w:rPr>
        <w:t xml:space="preserve"> </w:t>
      </w:r>
      <w:r w:rsidR="00787C3A" w:rsidRPr="00CB2E7B">
        <w:rPr>
          <w:rFonts w:ascii="Palatino Linotype" w:hAnsi="Palatino Linotype" w:cs="Arial"/>
          <w:sz w:val="24"/>
          <w:szCs w:val="24"/>
        </w:rPr>
        <w:t>(</w:t>
      </w:r>
      <w:r w:rsidR="000E08D9">
        <w:rPr>
          <w:rFonts w:ascii="Palatino Linotype" w:hAnsi="Palatino Linotype" w:cs="Arial"/>
          <w:sz w:val="24"/>
          <w:szCs w:val="24"/>
        </w:rPr>
        <w:t>19</w:t>
      </w:r>
      <w:r w:rsidR="00787C3A" w:rsidRPr="00CB2E7B">
        <w:rPr>
          <w:rFonts w:ascii="Palatino Linotype" w:hAnsi="Palatino Linotype" w:cs="Arial"/>
          <w:sz w:val="24"/>
          <w:szCs w:val="24"/>
        </w:rPr>
        <w:t xml:space="preserve">) </w:t>
      </w:r>
      <w:r w:rsidR="00175E9F" w:rsidRPr="00CB2E7B">
        <w:rPr>
          <w:rFonts w:ascii="Palatino Linotype" w:hAnsi="Palatino Linotype" w:cs="Arial"/>
          <w:sz w:val="24"/>
          <w:szCs w:val="24"/>
        </w:rPr>
        <w:t xml:space="preserve">de </w:t>
      </w:r>
      <w:r w:rsidR="000E08D9">
        <w:rPr>
          <w:rFonts w:ascii="Palatino Linotype" w:hAnsi="Palatino Linotype" w:cs="Arial"/>
          <w:sz w:val="24"/>
          <w:szCs w:val="24"/>
        </w:rPr>
        <w:t>septiembre</w:t>
      </w:r>
      <w:r w:rsidR="001A542A">
        <w:rPr>
          <w:rFonts w:ascii="Palatino Linotype" w:hAnsi="Palatino Linotype" w:cs="Arial"/>
          <w:sz w:val="24"/>
          <w:szCs w:val="24"/>
        </w:rPr>
        <w:t xml:space="preserve"> </w:t>
      </w:r>
      <w:r w:rsidR="00F9751B" w:rsidRPr="00CB2E7B">
        <w:rPr>
          <w:rFonts w:ascii="Palatino Linotype" w:hAnsi="Palatino Linotype" w:cs="Arial"/>
          <w:sz w:val="24"/>
          <w:szCs w:val="24"/>
        </w:rPr>
        <w:t>de dos mil dieciocho</w:t>
      </w:r>
      <w:r w:rsidR="00625340" w:rsidRPr="00CB2E7B">
        <w:rPr>
          <w:rFonts w:ascii="Palatino Linotype" w:hAnsi="Palatino Linotype" w:cs="Arial"/>
          <w:sz w:val="24"/>
          <w:szCs w:val="24"/>
        </w:rPr>
        <w:t xml:space="preserve">, en el recurso de revisión promovido por </w:t>
      </w:r>
      <w:r w:rsidR="00320F76" w:rsidRPr="00931A12">
        <w:rPr>
          <w:rFonts w:ascii="Palatino Linotype" w:hAnsi="Palatino Linotype" w:cs="Arial"/>
          <w:b/>
          <w:sz w:val="24"/>
          <w:szCs w:val="24"/>
          <w:highlight w:val="black"/>
        </w:rPr>
        <w:t>------</w:t>
      </w:r>
      <w:r w:rsidR="00320F76" w:rsidRPr="00320F76">
        <w:rPr>
          <w:rFonts w:ascii="Palatino Linotype" w:hAnsi="Palatino Linotype" w:cs="Arial"/>
          <w:b/>
          <w:sz w:val="24"/>
          <w:szCs w:val="24"/>
          <w:highlight w:val="black"/>
        </w:rPr>
        <w:t>----------------------------------------------------</w:t>
      </w:r>
      <w:r w:rsidR="00625340" w:rsidRPr="00CB2E7B">
        <w:rPr>
          <w:rFonts w:ascii="Palatino Linotype" w:hAnsi="Palatino Linotype" w:cs="Arial"/>
          <w:sz w:val="24"/>
          <w:szCs w:val="24"/>
        </w:rPr>
        <w:t xml:space="preserve"> en contra de la respuesta </w:t>
      </w:r>
      <w:r w:rsidR="00B02F56" w:rsidRPr="00CB2E7B">
        <w:rPr>
          <w:rFonts w:ascii="Palatino Linotype" w:hAnsi="Palatino Linotype" w:cs="Arial"/>
          <w:sz w:val="24"/>
          <w:szCs w:val="24"/>
        </w:rPr>
        <w:t>de</w:t>
      </w:r>
      <w:r w:rsidRPr="00CB2E7B">
        <w:rPr>
          <w:rFonts w:ascii="Palatino Linotype" w:hAnsi="Palatino Linotype" w:cs="Arial"/>
          <w:sz w:val="24"/>
          <w:szCs w:val="24"/>
        </w:rPr>
        <w:t>l</w:t>
      </w:r>
      <w:r w:rsidR="00B02F56" w:rsidRPr="00CB2E7B">
        <w:rPr>
          <w:rFonts w:ascii="Palatino Linotype" w:hAnsi="Palatino Linotype" w:cs="Arial"/>
          <w:sz w:val="24"/>
          <w:szCs w:val="24"/>
        </w:rPr>
        <w:t xml:space="preserve"> </w:t>
      </w:r>
      <w:r w:rsidR="000E08D9">
        <w:rPr>
          <w:rFonts w:ascii="Palatino Linotype" w:hAnsi="Palatino Linotype" w:cs="Arial"/>
          <w:b/>
          <w:sz w:val="24"/>
          <w:szCs w:val="24"/>
        </w:rPr>
        <w:t xml:space="preserve">Tecnológico de Estudios Superiores de </w:t>
      </w:r>
      <w:proofErr w:type="spellStart"/>
      <w:r w:rsidR="000E08D9">
        <w:rPr>
          <w:rFonts w:ascii="Palatino Linotype" w:hAnsi="Palatino Linotype" w:cs="Arial"/>
          <w:b/>
          <w:sz w:val="24"/>
          <w:szCs w:val="24"/>
        </w:rPr>
        <w:t>Chicoloapan</w:t>
      </w:r>
      <w:proofErr w:type="spellEnd"/>
      <w:r w:rsidR="00625340" w:rsidRPr="00CB2E7B">
        <w:rPr>
          <w:rFonts w:ascii="Palatino Linotype" w:hAnsi="Palatino Linotype" w:cs="Arial"/>
          <w:sz w:val="24"/>
          <w:szCs w:val="24"/>
        </w:rPr>
        <w:t xml:space="preserve">, procedimiento al que se le asignó el número de expediente </w:t>
      </w:r>
      <w:r w:rsidR="00625340" w:rsidRPr="00CB2E7B">
        <w:rPr>
          <w:rFonts w:ascii="Palatino Linotype" w:hAnsi="Palatino Linotype" w:cs="Arial"/>
          <w:b/>
          <w:bCs/>
          <w:sz w:val="24"/>
          <w:szCs w:val="24"/>
        </w:rPr>
        <w:t>0</w:t>
      </w:r>
      <w:r w:rsidR="000E08D9">
        <w:rPr>
          <w:rFonts w:ascii="Palatino Linotype" w:hAnsi="Palatino Linotype" w:cs="Arial"/>
          <w:b/>
          <w:bCs/>
          <w:sz w:val="24"/>
          <w:szCs w:val="24"/>
        </w:rPr>
        <w:t>2824</w:t>
      </w:r>
      <w:r w:rsidR="00625340" w:rsidRPr="00CB2E7B">
        <w:rPr>
          <w:rFonts w:ascii="Palatino Linotype" w:hAnsi="Palatino Linotype" w:cs="Arial"/>
          <w:b/>
          <w:bCs/>
          <w:sz w:val="24"/>
          <w:szCs w:val="24"/>
        </w:rPr>
        <w:t>/INFOEM/IP/RR/201</w:t>
      </w:r>
      <w:r w:rsidR="00F9751B" w:rsidRPr="00CB2E7B">
        <w:rPr>
          <w:rFonts w:ascii="Palatino Linotype" w:hAnsi="Palatino Linotype" w:cs="Arial"/>
          <w:b/>
          <w:bCs/>
          <w:sz w:val="24"/>
          <w:szCs w:val="24"/>
        </w:rPr>
        <w:t>8</w:t>
      </w:r>
      <w:r w:rsidR="00625340" w:rsidRPr="00CB2E7B">
        <w:rPr>
          <w:rFonts w:ascii="Palatino Linotype" w:hAnsi="Palatino Linotype" w:cs="Arial"/>
          <w:b/>
          <w:sz w:val="24"/>
          <w:szCs w:val="24"/>
        </w:rPr>
        <w:t>.</w:t>
      </w:r>
    </w:p>
    <w:p w:rsidR="00D35091" w:rsidRPr="00CB2E7B" w:rsidRDefault="00D35091" w:rsidP="00530CB3">
      <w:pPr>
        <w:pStyle w:val="Prrafodelista"/>
        <w:spacing w:after="0" w:line="360" w:lineRule="auto"/>
        <w:ind w:left="426"/>
        <w:jc w:val="both"/>
        <w:rPr>
          <w:rFonts w:ascii="Palatino Linotype" w:hAnsi="Palatino Linotype" w:cs="Arial"/>
          <w:b/>
          <w:sz w:val="24"/>
          <w:szCs w:val="24"/>
        </w:rPr>
      </w:pPr>
    </w:p>
    <w:p w:rsidR="000E08D9" w:rsidRPr="000E08D9" w:rsidRDefault="00DA4B4E" w:rsidP="00442E20">
      <w:pPr>
        <w:pStyle w:val="Prrafodelista"/>
        <w:numPr>
          <w:ilvl w:val="0"/>
          <w:numId w:val="11"/>
        </w:numPr>
        <w:spacing w:after="0" w:line="360" w:lineRule="auto"/>
        <w:ind w:left="426"/>
        <w:jc w:val="both"/>
        <w:rPr>
          <w:rFonts w:ascii="Palatino Linotype" w:hAnsi="Palatino Linotype" w:cs="Arial"/>
          <w:b/>
          <w:sz w:val="24"/>
          <w:szCs w:val="24"/>
        </w:rPr>
      </w:pPr>
      <w:r w:rsidRPr="00F67EC8">
        <w:rPr>
          <w:rFonts w:ascii="Palatino Linotype" w:hAnsi="Palatino Linotype" w:cs="Arial"/>
          <w:sz w:val="24"/>
          <w:szCs w:val="24"/>
        </w:rPr>
        <w:t xml:space="preserve">La resolución </w:t>
      </w:r>
      <w:r w:rsidR="00340665" w:rsidRPr="00F67EC8">
        <w:rPr>
          <w:rFonts w:ascii="Palatino Linotype" w:hAnsi="Palatino Linotype" w:cs="Arial"/>
          <w:sz w:val="24"/>
          <w:szCs w:val="24"/>
        </w:rPr>
        <w:t xml:space="preserve">puntualmente </w:t>
      </w:r>
      <w:r w:rsidR="000E08D9">
        <w:rPr>
          <w:rFonts w:ascii="Palatino Linotype" w:hAnsi="Palatino Linotype" w:cs="Arial"/>
          <w:sz w:val="24"/>
          <w:szCs w:val="24"/>
        </w:rPr>
        <w:t xml:space="preserve">que se esté a lo dispuesto por el recurso de revisión </w:t>
      </w:r>
      <w:r w:rsidR="000E08D9" w:rsidRPr="000E08D9">
        <w:rPr>
          <w:rFonts w:ascii="Palatino Linotype" w:hAnsi="Palatino Linotype" w:cs="Arial"/>
          <w:b/>
          <w:sz w:val="24"/>
          <w:szCs w:val="24"/>
        </w:rPr>
        <w:t>02546/INFOEM/IP/RR/2018</w:t>
      </w:r>
      <w:r w:rsidR="000E08D9">
        <w:rPr>
          <w:rFonts w:ascii="Palatino Linotype" w:hAnsi="Palatino Linotype" w:cs="Arial"/>
          <w:sz w:val="24"/>
          <w:szCs w:val="24"/>
        </w:rPr>
        <w:t xml:space="preserve">, que sirve como antecedente de lo que requirió la parte recurrente, en consecuencia se determina sobreseer los recursos </w:t>
      </w:r>
      <w:r w:rsidR="000E08D9" w:rsidRPr="000E08D9">
        <w:rPr>
          <w:rFonts w:ascii="Palatino Linotype" w:hAnsi="Palatino Linotype" w:cs="Arial"/>
          <w:b/>
          <w:sz w:val="24"/>
          <w:szCs w:val="24"/>
        </w:rPr>
        <w:t>0</w:t>
      </w:r>
      <w:r w:rsidR="000E08D9">
        <w:rPr>
          <w:rFonts w:ascii="Palatino Linotype" w:hAnsi="Palatino Linotype" w:cs="Arial"/>
          <w:b/>
          <w:sz w:val="24"/>
          <w:szCs w:val="24"/>
        </w:rPr>
        <w:t>2824</w:t>
      </w:r>
      <w:r w:rsidR="000E08D9" w:rsidRPr="000E08D9">
        <w:rPr>
          <w:rFonts w:ascii="Palatino Linotype" w:hAnsi="Palatino Linotype" w:cs="Arial"/>
          <w:b/>
          <w:sz w:val="24"/>
          <w:szCs w:val="24"/>
        </w:rPr>
        <w:t>/INFOEM/IP/RR/2018</w:t>
      </w:r>
      <w:r w:rsidR="000E08D9">
        <w:rPr>
          <w:rFonts w:ascii="Palatino Linotype" w:hAnsi="Palatino Linotype" w:cs="Arial"/>
          <w:b/>
          <w:sz w:val="24"/>
          <w:szCs w:val="24"/>
        </w:rPr>
        <w:t xml:space="preserve"> y </w:t>
      </w:r>
      <w:r w:rsidR="000E08D9" w:rsidRPr="000E08D9">
        <w:rPr>
          <w:rFonts w:ascii="Palatino Linotype" w:hAnsi="Palatino Linotype" w:cs="Arial"/>
          <w:b/>
          <w:sz w:val="24"/>
          <w:szCs w:val="24"/>
        </w:rPr>
        <w:t>0</w:t>
      </w:r>
      <w:r w:rsidR="000E08D9">
        <w:rPr>
          <w:rFonts w:ascii="Palatino Linotype" w:hAnsi="Palatino Linotype" w:cs="Arial"/>
          <w:b/>
          <w:sz w:val="24"/>
          <w:szCs w:val="24"/>
        </w:rPr>
        <w:t>282</w:t>
      </w:r>
      <w:r w:rsidR="000E08D9" w:rsidRPr="000E08D9">
        <w:rPr>
          <w:rFonts w:ascii="Palatino Linotype" w:hAnsi="Palatino Linotype" w:cs="Arial"/>
          <w:b/>
          <w:sz w:val="24"/>
          <w:szCs w:val="24"/>
        </w:rPr>
        <w:t>6/INFOEM/IP/RR/2018</w:t>
      </w:r>
      <w:r w:rsidR="00943EF6">
        <w:rPr>
          <w:rFonts w:ascii="Palatino Linotype" w:hAnsi="Palatino Linotype" w:cs="Arial"/>
          <w:b/>
          <w:sz w:val="24"/>
          <w:szCs w:val="24"/>
        </w:rPr>
        <w:t>.</w:t>
      </w:r>
    </w:p>
    <w:p w:rsidR="0080047C" w:rsidRDefault="0080047C" w:rsidP="00530CB3">
      <w:pPr>
        <w:pStyle w:val="Prrafodelista"/>
        <w:numPr>
          <w:ilvl w:val="0"/>
          <w:numId w:val="11"/>
        </w:numPr>
        <w:spacing w:before="240" w:after="240" w:line="360" w:lineRule="auto"/>
        <w:ind w:left="426"/>
        <w:jc w:val="both"/>
        <w:rPr>
          <w:rFonts w:ascii="Palatino Linotype" w:hAnsi="Palatino Linotype" w:cs="Arial"/>
          <w:sz w:val="24"/>
          <w:szCs w:val="24"/>
        </w:rPr>
      </w:pPr>
      <w:r>
        <w:rPr>
          <w:rFonts w:ascii="Palatino Linotype" w:hAnsi="Palatino Linotype" w:cs="Arial"/>
          <w:sz w:val="24"/>
          <w:szCs w:val="24"/>
        </w:rPr>
        <w:lastRenderedPageBreak/>
        <w:t>Sin embargo, el voto que formulo</w:t>
      </w:r>
      <w:r w:rsidR="00350CF2">
        <w:rPr>
          <w:rFonts w:ascii="Palatino Linotype" w:hAnsi="Palatino Linotype" w:cs="Arial"/>
          <w:sz w:val="24"/>
          <w:szCs w:val="24"/>
        </w:rPr>
        <w:t>,</w:t>
      </w:r>
      <w:r>
        <w:rPr>
          <w:rFonts w:ascii="Palatino Linotype" w:hAnsi="Palatino Linotype" w:cs="Arial"/>
          <w:sz w:val="24"/>
          <w:szCs w:val="24"/>
        </w:rPr>
        <w:t xml:space="preserve"> se deriva de </w:t>
      </w:r>
      <w:r w:rsidR="00350CF2">
        <w:rPr>
          <w:rFonts w:ascii="Palatino Linotype" w:hAnsi="Palatino Linotype" w:cs="Arial"/>
          <w:sz w:val="24"/>
          <w:szCs w:val="24"/>
        </w:rPr>
        <w:t>la omisión a dar el trámite correspondiente a las solicitudes de acceso a la información pública, materia de los recursos de revisión del presente proyecto de resolución acumulado.</w:t>
      </w:r>
    </w:p>
    <w:p w:rsidR="00DD323C" w:rsidRPr="00DD323C" w:rsidRDefault="00DD323C" w:rsidP="00DD323C">
      <w:pPr>
        <w:pStyle w:val="Prrafodelista"/>
        <w:rPr>
          <w:rFonts w:ascii="Palatino Linotype" w:hAnsi="Palatino Linotype" w:cs="Arial"/>
          <w:sz w:val="24"/>
          <w:szCs w:val="24"/>
        </w:rPr>
      </w:pPr>
    </w:p>
    <w:p w:rsidR="00D42114" w:rsidRPr="00CB2E7B" w:rsidRDefault="00625340" w:rsidP="00530CB3">
      <w:pPr>
        <w:pStyle w:val="Prrafodelista"/>
        <w:numPr>
          <w:ilvl w:val="0"/>
          <w:numId w:val="11"/>
        </w:numPr>
        <w:spacing w:before="240" w:after="240" w:line="360" w:lineRule="auto"/>
        <w:ind w:left="426"/>
        <w:jc w:val="both"/>
        <w:rPr>
          <w:rFonts w:ascii="Palatino Linotype" w:hAnsi="Palatino Linotype" w:cs="Arial"/>
          <w:sz w:val="24"/>
          <w:szCs w:val="24"/>
        </w:rPr>
      </w:pPr>
      <w:r w:rsidRPr="00CB2E7B">
        <w:rPr>
          <w:rFonts w:ascii="Palatino Linotype" w:hAnsi="Palatino Linotype" w:cs="Arial"/>
          <w:sz w:val="24"/>
          <w:szCs w:val="24"/>
        </w:rPr>
        <w:t>Por tal motivo y e</w:t>
      </w:r>
      <w:r w:rsidR="006F18A4" w:rsidRPr="00CB2E7B">
        <w:rPr>
          <w:rFonts w:ascii="Palatino Linotype" w:hAnsi="Palatino Linotype" w:cs="Arial"/>
          <w:sz w:val="24"/>
          <w:szCs w:val="24"/>
        </w:rPr>
        <w:t>n términos de lo señalado por el</w:t>
      </w:r>
      <w:r w:rsidRPr="00CB2E7B">
        <w:rPr>
          <w:rFonts w:ascii="Palatino Linotype" w:hAnsi="Palatino Linotype" w:cs="Arial"/>
          <w:sz w:val="24"/>
          <w:szCs w:val="24"/>
        </w:rPr>
        <w:t xml:space="preserve"> artículo </w:t>
      </w:r>
      <w:r w:rsidR="006F18A4" w:rsidRPr="00CB2E7B">
        <w:rPr>
          <w:rFonts w:ascii="Palatino Linotype" w:hAnsi="Palatino Linotype" w:cs="Arial"/>
          <w:sz w:val="24"/>
          <w:szCs w:val="24"/>
        </w:rPr>
        <w:t>14</w:t>
      </w:r>
      <w:r w:rsidRPr="00CB2E7B">
        <w:rPr>
          <w:rFonts w:ascii="Palatino Linotype" w:hAnsi="Palatino Linotype" w:cs="Arial"/>
          <w:sz w:val="24"/>
          <w:szCs w:val="24"/>
        </w:rPr>
        <w:t xml:space="preserve"> fracción X</w:t>
      </w:r>
      <w:r w:rsidR="00F313D4" w:rsidRPr="00CB2E7B">
        <w:rPr>
          <w:rFonts w:ascii="Palatino Linotype" w:hAnsi="Palatino Linotype" w:cs="Arial"/>
          <w:sz w:val="24"/>
          <w:szCs w:val="24"/>
        </w:rPr>
        <w:t>I</w:t>
      </w:r>
      <w:r w:rsidRPr="00CB2E7B">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sidRPr="00CB2E7B">
        <w:rPr>
          <w:rFonts w:ascii="Palatino Linotype" w:hAnsi="Palatino Linotype" w:cs="Arial"/>
          <w:sz w:val="24"/>
          <w:szCs w:val="24"/>
        </w:rPr>
        <w:t xml:space="preserve"> </w:t>
      </w:r>
      <w:r w:rsidR="00C02AF0" w:rsidRPr="00CB2E7B">
        <w:rPr>
          <w:rFonts w:ascii="Palatino Linotype" w:hAnsi="Palatino Linotype" w:cs="Arial"/>
          <w:sz w:val="24"/>
          <w:szCs w:val="24"/>
        </w:rPr>
        <w:t>voto</w:t>
      </w:r>
      <w:r w:rsidRPr="00CB2E7B">
        <w:rPr>
          <w:rFonts w:ascii="Palatino Linotype" w:hAnsi="Palatino Linotype" w:cs="Arial"/>
          <w:sz w:val="24"/>
          <w:szCs w:val="24"/>
        </w:rPr>
        <w:t xml:space="preserve"> particular.</w:t>
      </w:r>
    </w:p>
    <w:p w:rsidR="00350CF2" w:rsidRDefault="00350CF2" w:rsidP="00F67EC8">
      <w:pPr>
        <w:pStyle w:val="Ttulo1"/>
        <w:numPr>
          <w:ilvl w:val="0"/>
          <w:numId w:val="43"/>
        </w:numPr>
        <w:ind w:left="851"/>
      </w:pPr>
      <w:bookmarkStart w:id="1" w:name="_Toc525572200"/>
      <w:r>
        <w:t>Del sobreseimiento.</w:t>
      </w:r>
      <w:bookmarkEnd w:id="1"/>
    </w:p>
    <w:p w:rsidR="00350CF2" w:rsidRPr="00350CF2" w:rsidRDefault="00350CF2" w:rsidP="00350CF2"/>
    <w:p w:rsidR="00350CF2" w:rsidRPr="007D67E1" w:rsidRDefault="007D67E1" w:rsidP="007D67E1">
      <w:pPr>
        <w:pStyle w:val="Prrafodelista"/>
        <w:numPr>
          <w:ilvl w:val="0"/>
          <w:numId w:val="11"/>
        </w:numPr>
        <w:spacing w:line="360" w:lineRule="auto"/>
        <w:jc w:val="both"/>
        <w:rPr>
          <w:rFonts w:ascii="Palatino Linotype" w:hAnsi="Palatino Linotype"/>
          <w:sz w:val="24"/>
        </w:rPr>
      </w:pPr>
      <w:r>
        <w:rPr>
          <w:rFonts w:ascii="Palatino Linotype" w:hAnsi="Palatino Linotype"/>
          <w:sz w:val="24"/>
        </w:rPr>
        <w:t>He de</w:t>
      </w:r>
      <w:r w:rsidR="00350CF2" w:rsidRPr="007D67E1">
        <w:rPr>
          <w:rFonts w:ascii="Palatino Linotype" w:hAnsi="Palatino Linotype"/>
          <w:sz w:val="24"/>
        </w:rPr>
        <w:t xml:space="preserve"> manifestar que estoy de acuerdo en la forma en que el presente proyecto de resoluci</w:t>
      </w:r>
      <w:r>
        <w:rPr>
          <w:rFonts w:ascii="Palatino Linotype" w:hAnsi="Palatino Linotype"/>
          <w:sz w:val="24"/>
        </w:rPr>
        <w:t>ón se resolvió</w:t>
      </w:r>
      <w:r w:rsidR="00350CF2" w:rsidRPr="007D67E1">
        <w:rPr>
          <w:rFonts w:ascii="Palatino Linotype" w:hAnsi="Palatino Linotype"/>
          <w:sz w:val="24"/>
        </w:rPr>
        <w:t xml:space="preserve">, en razón de que </w:t>
      </w:r>
      <w:r>
        <w:rPr>
          <w:rFonts w:ascii="Palatino Linotype" w:hAnsi="Palatino Linotype"/>
          <w:sz w:val="24"/>
        </w:rPr>
        <w:t>un antecedente en donde se advierte,</w:t>
      </w:r>
      <w:r w:rsidR="00350CF2" w:rsidRPr="007D67E1">
        <w:rPr>
          <w:rFonts w:ascii="Palatino Linotype" w:hAnsi="Palatino Linotype"/>
          <w:sz w:val="24"/>
        </w:rPr>
        <w:t xml:space="preserve"> tanto identidad de partes como de </w:t>
      </w:r>
      <w:r w:rsidRPr="007D67E1">
        <w:rPr>
          <w:rFonts w:ascii="Palatino Linotype" w:hAnsi="Palatino Linotype"/>
          <w:sz w:val="24"/>
        </w:rPr>
        <w:t>requerimientos</w:t>
      </w:r>
      <w:r>
        <w:rPr>
          <w:rFonts w:ascii="Palatino Linotype" w:hAnsi="Palatino Linotype"/>
          <w:sz w:val="24"/>
        </w:rPr>
        <w:t>, entonces, al existir un precedente ya resuelto por este Órgano Garante, no es necesario que se resuelva otro caso igual, toda vez que podría recaer en resoluciones contradictorias.</w:t>
      </w:r>
    </w:p>
    <w:p w:rsidR="00AF62AA" w:rsidRPr="00A53B90" w:rsidRDefault="00AF62AA" w:rsidP="00AF62AA">
      <w:pPr>
        <w:pStyle w:val="Ttulo1"/>
        <w:numPr>
          <w:ilvl w:val="0"/>
          <w:numId w:val="43"/>
        </w:numPr>
        <w:jc w:val="both"/>
        <w:rPr>
          <w:b w:val="0"/>
          <w:color w:val="000000" w:themeColor="text1"/>
          <w:szCs w:val="24"/>
        </w:rPr>
      </w:pPr>
      <w:bookmarkStart w:id="2" w:name="_Toc486525255"/>
      <w:bookmarkStart w:id="3" w:name="_Toc499204358"/>
      <w:bookmarkStart w:id="4" w:name="_Toc525572201"/>
      <w:r w:rsidRPr="00A53B90">
        <w:rPr>
          <w:color w:val="000000" w:themeColor="text1"/>
          <w:szCs w:val="24"/>
        </w:rPr>
        <w:t>La falta de respuesta a una solicitud de acceso a la información afecta el derecho humano, lo que debe de ser reparado.</w:t>
      </w:r>
      <w:bookmarkEnd w:id="2"/>
      <w:bookmarkEnd w:id="3"/>
      <w:bookmarkEnd w:id="4"/>
    </w:p>
    <w:p w:rsidR="00AF62AA" w:rsidRPr="00070696" w:rsidRDefault="00AF62AA" w:rsidP="00AF62AA">
      <w:pPr>
        <w:pStyle w:val="Prrafodelista"/>
        <w:spacing w:line="360" w:lineRule="auto"/>
        <w:ind w:left="0"/>
        <w:jc w:val="both"/>
        <w:rPr>
          <w:rFonts w:ascii="Palatino Linotype" w:hAnsi="Palatino Linotype" w:cs="Arial"/>
        </w:rPr>
      </w:pPr>
      <w:r w:rsidRPr="00070696">
        <w:rPr>
          <w:rFonts w:ascii="Palatino Linotype" w:hAnsi="Palatino Linotype" w:cs="Arial"/>
        </w:rPr>
        <w:t xml:space="preserve"> </w:t>
      </w:r>
    </w:p>
    <w:p w:rsidR="00112BF2" w:rsidRPr="00350CF2" w:rsidRDefault="00112BF2" w:rsidP="00112BF2">
      <w:pPr>
        <w:pStyle w:val="Prrafodelista"/>
        <w:numPr>
          <w:ilvl w:val="0"/>
          <w:numId w:val="11"/>
        </w:numPr>
        <w:spacing w:before="240" w:after="240" w:line="360" w:lineRule="auto"/>
        <w:ind w:left="426" w:right="333" w:hanging="426"/>
        <w:jc w:val="both"/>
        <w:rPr>
          <w:rFonts w:ascii="Palatino Linotype" w:eastAsia="Times New Roman" w:hAnsi="Palatino Linotype" w:cs="Arial"/>
          <w:i/>
          <w:sz w:val="24"/>
        </w:rPr>
      </w:pPr>
      <w:r w:rsidRPr="00350CF2">
        <w:rPr>
          <w:rFonts w:ascii="Palatino Linotype" w:eastAsia="Times New Roman" w:hAnsi="Palatino Linotype" w:cs="Arial"/>
          <w:sz w:val="24"/>
        </w:rPr>
        <w:t>Se debe enfatizar que el Derecho que tutela este Órgano Garante</w:t>
      </w:r>
      <w:r>
        <w:rPr>
          <w:rFonts w:ascii="Palatino Linotype" w:eastAsia="Times New Roman" w:hAnsi="Palatino Linotype" w:cs="Arial"/>
          <w:i/>
          <w:sz w:val="24"/>
        </w:rPr>
        <w:t xml:space="preserve"> es </w:t>
      </w:r>
      <w:r w:rsidRPr="00350CF2">
        <w:rPr>
          <w:rFonts w:ascii="Palatino Linotype" w:eastAsia="Times New Roman" w:hAnsi="Palatino Linotype" w:cs="Arial"/>
          <w:color w:val="000000" w:themeColor="text1"/>
          <w:lang w:eastAsia="es-MX"/>
        </w:rPr>
        <w:t xml:space="preserve">la </w:t>
      </w:r>
      <w:r w:rsidRPr="00350CF2">
        <w:rPr>
          <w:rFonts w:ascii="Palatino Linotype" w:eastAsia="MS Mincho" w:hAnsi="Palatino Linotype" w:cs="Times New Roman"/>
          <w:i/>
        </w:rPr>
        <w:t>igualdad de oportunidades para recibir, buscar e impartir información</w:t>
      </w:r>
      <w:r w:rsidRPr="00EA71B0">
        <w:rPr>
          <w:rStyle w:val="Refdenotaalpie"/>
          <w:rFonts w:ascii="Palatino Linotype" w:eastAsia="MS Mincho" w:hAnsi="Palatino Linotype" w:cs="Times New Roman"/>
          <w:i/>
        </w:rPr>
        <w:footnoteReference w:id="1"/>
      </w:r>
      <w:r w:rsidRPr="00350CF2">
        <w:rPr>
          <w:rFonts w:ascii="Palatino Linotype" w:eastAsia="MS Mincho" w:hAnsi="Palatino Linotype" w:cs="Times New Roman"/>
          <w:i/>
        </w:rPr>
        <w:t xml:space="preserve"> en posesión de cualquier autoridad, entidad, órgano y organismo de los poderes Ejecutivo, Legislativo y Judicial, </w:t>
      </w:r>
      <w:r w:rsidRPr="00350CF2">
        <w:rPr>
          <w:rFonts w:ascii="Palatino Linotype" w:eastAsia="MS Mincho" w:hAnsi="Palatino Linotype" w:cs="Times New Roman"/>
          <w:i/>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EA71B0">
        <w:rPr>
          <w:rStyle w:val="Refdenotaalpie"/>
          <w:rFonts w:ascii="Palatino Linotype" w:eastAsia="MS Mincho" w:hAnsi="Palatino Linotype" w:cs="Times New Roman"/>
        </w:rPr>
        <w:footnoteReference w:id="2"/>
      </w:r>
      <w:r w:rsidRPr="00350CF2">
        <w:rPr>
          <w:rFonts w:ascii="Palatino Linotype" w:eastAsia="MS Mincho" w:hAnsi="Palatino Linotype" w:cs="Times New Roman"/>
          <w:i/>
        </w:rPr>
        <w:t xml:space="preserve"> </w:t>
      </w:r>
      <w:r w:rsidRPr="009A3F37">
        <w:rPr>
          <w:rFonts w:ascii="Palatino Linotype" w:eastAsia="MS Mincho" w:hAnsi="Palatino Linotype" w:cs="Times New Roman"/>
          <w:sz w:val="24"/>
        </w:rPr>
        <w:t>que se constituye como una herramienta fundamental para</w:t>
      </w:r>
      <w:r w:rsidRPr="00350CF2">
        <w:rPr>
          <w:rFonts w:ascii="Palatino Linotype" w:eastAsia="MS Mincho" w:hAnsi="Palatino Linotype" w:cs="Times New Roman"/>
        </w:rPr>
        <w:t xml:space="preserve"> </w:t>
      </w:r>
      <w:r w:rsidRPr="00350CF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A71B0">
        <w:rPr>
          <w:rStyle w:val="Refdenotaalpie"/>
          <w:rFonts w:ascii="Palatino Linotype" w:eastAsia="MS Mincho" w:hAnsi="Palatino Linotype" w:cs="Times New Roman"/>
          <w:i/>
        </w:rPr>
        <w:footnoteReference w:id="3"/>
      </w:r>
      <w:r w:rsidRPr="00350CF2">
        <w:rPr>
          <w:rFonts w:ascii="Palatino Linotype" w:eastAsia="MS Mincho" w:hAnsi="Palatino Linotype" w:cs="Times New Roman"/>
        </w:rPr>
        <w:t>fomentando</w:t>
      </w:r>
      <w:r w:rsidRPr="00350CF2">
        <w:rPr>
          <w:rFonts w:ascii="Palatino Linotype" w:eastAsia="MS Mincho" w:hAnsi="Palatino Linotype" w:cs="Times New Roman"/>
          <w:i/>
        </w:rPr>
        <w:t xml:space="preserve"> la transparencia de las actividades estatales y</w:t>
      </w:r>
      <w:r w:rsidRPr="00350CF2">
        <w:rPr>
          <w:rFonts w:ascii="Palatino Linotype" w:eastAsia="MS Mincho" w:hAnsi="Palatino Linotype" w:cs="Times New Roman"/>
        </w:rPr>
        <w:t xml:space="preserve"> </w:t>
      </w:r>
      <w:r w:rsidRPr="009A3F37">
        <w:rPr>
          <w:rFonts w:ascii="Palatino Linotype" w:eastAsia="MS Mincho" w:hAnsi="Palatino Linotype" w:cs="Times New Roman"/>
          <w:sz w:val="24"/>
        </w:rPr>
        <w:t>promoviendo</w:t>
      </w:r>
      <w:r w:rsidRPr="00350CF2">
        <w:rPr>
          <w:rFonts w:ascii="Palatino Linotype" w:eastAsia="MS Mincho" w:hAnsi="Palatino Linotype" w:cs="Times New Roman"/>
          <w:i/>
        </w:rPr>
        <w:t xml:space="preserve"> la responsabilidad de los funcionarios sobre su gestión pública</w:t>
      </w:r>
      <w:r w:rsidRPr="00EA71B0">
        <w:rPr>
          <w:rStyle w:val="Refdenotaalpie"/>
          <w:rFonts w:ascii="Palatino Linotype" w:eastAsia="MS Mincho" w:hAnsi="Palatino Linotype" w:cs="Times New Roman"/>
          <w:i/>
        </w:rPr>
        <w:footnoteReference w:id="4"/>
      </w:r>
      <w:r w:rsidRPr="00350CF2">
        <w:rPr>
          <w:rFonts w:ascii="Palatino Linotype" w:eastAsia="MS Mincho" w:hAnsi="Palatino Linotype" w:cs="Times New Roman"/>
          <w:i/>
        </w:rPr>
        <w:t xml:space="preserve"> </w:t>
      </w:r>
      <w:r w:rsidRPr="009A3F37">
        <w:rPr>
          <w:rFonts w:ascii="Palatino Linotype" w:eastAsia="MS Mincho" w:hAnsi="Palatino Linotype" w:cs="Times New Roman"/>
          <w:sz w:val="24"/>
        </w:rPr>
        <w:t>que permite</w:t>
      </w:r>
      <w:r w:rsidRPr="00350CF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A71B0">
        <w:rPr>
          <w:rStyle w:val="Refdenotaalpie"/>
          <w:rFonts w:ascii="Palatino Linotype" w:eastAsia="MS Mincho" w:hAnsi="Palatino Linotype" w:cs="Times New Roman"/>
          <w:i/>
        </w:rPr>
        <w:footnoteReference w:id="5"/>
      </w:r>
      <w:r w:rsidRPr="00350CF2">
        <w:rPr>
          <w:rFonts w:ascii="Palatino Linotype" w:eastAsia="MS Mincho" w:hAnsi="Palatino Linotype" w:cs="Times New Roman"/>
        </w:rPr>
        <w:t xml:space="preserve"> ” </w:t>
      </w:r>
    </w:p>
    <w:p w:rsidR="00112BF2" w:rsidRDefault="00112BF2" w:rsidP="00112BF2">
      <w:pPr>
        <w:pStyle w:val="Prrafodelista"/>
        <w:spacing w:before="240" w:after="240" w:line="360" w:lineRule="auto"/>
        <w:ind w:left="426"/>
        <w:jc w:val="both"/>
        <w:rPr>
          <w:rFonts w:ascii="Palatino Linotype" w:hAnsi="Palatino Linotype" w:cs="Arial"/>
          <w:lang w:eastAsia="es-MX"/>
        </w:rPr>
      </w:pPr>
    </w:p>
    <w:p w:rsidR="00AF62AA" w:rsidRPr="009A3F37" w:rsidRDefault="00AF62AA" w:rsidP="00AF62AA">
      <w:pPr>
        <w:pStyle w:val="Prrafodelista"/>
        <w:numPr>
          <w:ilvl w:val="0"/>
          <w:numId w:val="11"/>
        </w:numPr>
        <w:spacing w:before="240" w:after="240" w:line="360" w:lineRule="auto"/>
        <w:ind w:left="426"/>
        <w:jc w:val="both"/>
        <w:rPr>
          <w:rFonts w:ascii="Palatino Linotype" w:hAnsi="Palatino Linotype" w:cs="Arial"/>
          <w:sz w:val="24"/>
          <w:lang w:eastAsia="es-MX"/>
        </w:rPr>
      </w:pPr>
      <w:r w:rsidRPr="009A3F37">
        <w:rPr>
          <w:rFonts w:ascii="Palatino Linotype" w:hAnsi="Palatino Linotype" w:cs="Arial"/>
          <w:sz w:val="24"/>
        </w:rPr>
        <w:t xml:space="preserve">Establecido lo anterior, se entiende que </w:t>
      </w:r>
      <w:r w:rsidRPr="009A3F37">
        <w:rPr>
          <w:rFonts w:ascii="Palatino Linotype" w:hAnsi="Palatino Linotype" w:cs="Arial"/>
          <w:sz w:val="24"/>
          <w:lang w:eastAsia="es-MX"/>
        </w:rPr>
        <w:t xml:space="preserve"> la omisión de atender la solicitud </w:t>
      </w:r>
      <w:r w:rsidRPr="009A3F37">
        <w:rPr>
          <w:rFonts w:ascii="Palatino Linotype" w:hAnsi="Palatino Linotype"/>
          <w:sz w:val="24"/>
          <w:lang w:eastAsia="es-MX"/>
        </w:rPr>
        <w:t>implica un incumplimiento de las obligaciones que la norma jurídica le impone como sujeto obligado de la misma, tal y como se señala en el artículo 23 fracción IV de la Ley de Transparencia del Estado de México, que a la letra dice:</w:t>
      </w:r>
    </w:p>
    <w:p w:rsidR="00AF62AA" w:rsidRPr="00C479D4" w:rsidRDefault="00AF62AA" w:rsidP="00AF62AA">
      <w:pPr>
        <w:spacing w:line="360" w:lineRule="auto"/>
        <w:ind w:left="567" w:right="567"/>
        <w:jc w:val="both"/>
        <w:rPr>
          <w:rFonts w:ascii="Palatino Linotype" w:hAnsi="Palatino Linotype" w:cs="Arial"/>
          <w:bCs/>
          <w:i/>
        </w:rPr>
      </w:pPr>
      <w:r w:rsidRPr="00C479D4">
        <w:rPr>
          <w:rFonts w:ascii="Palatino Linotype" w:hAnsi="Palatino Linotype" w:cs="Arial"/>
          <w:b/>
          <w:bCs/>
          <w:i/>
        </w:rPr>
        <w:t>Artículo 23</w:t>
      </w:r>
      <w:r w:rsidRPr="00C479D4">
        <w:rPr>
          <w:rFonts w:ascii="Palatino Linotype" w:hAnsi="Palatino Linotype" w:cs="Arial"/>
          <w:bCs/>
          <w:i/>
        </w:rPr>
        <w:t xml:space="preserve">. </w:t>
      </w:r>
      <w:r w:rsidRPr="00C479D4">
        <w:rPr>
          <w:rFonts w:ascii="Palatino Linotype" w:hAnsi="Palatino Linotype" w:cs="Arial"/>
          <w:b/>
          <w:bCs/>
          <w:i/>
          <w:u w:val="single"/>
        </w:rPr>
        <w:t>Son sujetos obligados a transparentar y permitir el acceso a su información y proteger los datos personales que obren en su poder</w:t>
      </w:r>
      <w:r w:rsidRPr="00C479D4">
        <w:rPr>
          <w:rFonts w:ascii="Palatino Linotype" w:hAnsi="Palatino Linotype" w:cs="Arial"/>
          <w:bCs/>
          <w:i/>
        </w:rPr>
        <w:t xml:space="preserve">: </w:t>
      </w:r>
    </w:p>
    <w:p w:rsidR="009A3F37" w:rsidRPr="009A3F37" w:rsidRDefault="009A3F37" w:rsidP="009A3F37">
      <w:pPr>
        <w:spacing w:line="360" w:lineRule="auto"/>
        <w:ind w:left="567" w:right="567"/>
        <w:jc w:val="both"/>
        <w:rPr>
          <w:rFonts w:ascii="Palatino Linotype" w:hAnsi="Palatino Linotype" w:cs="Arial"/>
          <w:b/>
          <w:bCs/>
          <w:i/>
        </w:rPr>
      </w:pPr>
      <w:r>
        <w:rPr>
          <w:rFonts w:ascii="Palatino Linotype" w:hAnsi="Palatino Linotype" w:cs="Arial"/>
          <w:b/>
          <w:bCs/>
          <w:i/>
        </w:rPr>
        <w:lastRenderedPageBreak/>
        <w:t xml:space="preserve">I. </w:t>
      </w:r>
      <w:r w:rsidRPr="00DD323C">
        <w:rPr>
          <w:rFonts w:ascii="Palatino Linotype" w:hAnsi="Palatino Linotype" w:cs="Bookman Old Style"/>
          <w:i/>
          <w:szCs w:val="20"/>
        </w:rPr>
        <w:t>El Poder Ejecutivo del Estado de México, las dependencias, organismos auxiliares, órganos, entidades, fideicomisos y fondos públicos, así como la Procuraduría General de Justicia;</w:t>
      </w:r>
    </w:p>
    <w:p w:rsidR="00AF62AA" w:rsidRPr="009A3F37" w:rsidRDefault="00AF62AA" w:rsidP="00112BF2">
      <w:pPr>
        <w:pStyle w:val="Prrafodelista"/>
        <w:numPr>
          <w:ilvl w:val="0"/>
          <w:numId w:val="11"/>
        </w:numPr>
        <w:spacing w:before="240" w:after="240" w:line="360" w:lineRule="auto"/>
        <w:ind w:left="426" w:hanging="426"/>
        <w:jc w:val="both"/>
        <w:rPr>
          <w:rFonts w:ascii="Palatino Linotype" w:hAnsi="Palatino Linotype"/>
          <w:sz w:val="24"/>
          <w:lang w:eastAsia="es-MX"/>
        </w:rPr>
      </w:pPr>
      <w:r w:rsidRPr="009A3F37">
        <w:rPr>
          <w:rFonts w:ascii="Palatino Linotype" w:hAnsi="Palatino Linotype"/>
          <w:sz w:val="24"/>
          <w:lang w:eastAsia="es-MX"/>
        </w:rPr>
        <w:t xml:space="preserve">De tal manera que, en su calidad de sujeto obligado de la Ley de la materia, el </w:t>
      </w:r>
      <w:r w:rsidRPr="009A3F37">
        <w:rPr>
          <w:rFonts w:ascii="Palatino Linotype" w:hAnsi="Palatino Linotype"/>
          <w:b/>
          <w:sz w:val="24"/>
          <w:lang w:eastAsia="es-MX"/>
        </w:rPr>
        <w:t>SUJETO OBLIGADO</w:t>
      </w:r>
      <w:r w:rsidRPr="009A3F37">
        <w:rPr>
          <w:rFonts w:ascii="Palatino Linotype" w:hAnsi="Palatino Linotype"/>
          <w:sz w:val="24"/>
          <w:lang w:eastAsia="es-MX"/>
        </w:rPr>
        <w:t xml:space="preserve"> se encuentra constreñido a respetar y cumplir el derecho humano de acceso a la información pública consignado por la Carta Magna y la Constitución Política Estatal que </w:t>
      </w:r>
      <w:r w:rsidRPr="009A3F37">
        <w:rPr>
          <w:rFonts w:ascii="Palatino Linotype" w:eastAsia="Calibri" w:hAnsi="Palatino Linotype" w:cs="Arial"/>
          <w:sz w:val="24"/>
        </w:rPr>
        <w:t>disponen lo siguiente, respectivamente:</w:t>
      </w:r>
    </w:p>
    <w:p w:rsidR="00AF62AA" w:rsidRPr="003964DA" w:rsidRDefault="00AF62AA" w:rsidP="00AF62AA">
      <w:pPr>
        <w:spacing w:line="360" w:lineRule="auto"/>
        <w:ind w:right="567"/>
        <w:jc w:val="center"/>
        <w:rPr>
          <w:rFonts w:ascii="Palatino Linotype" w:hAnsi="Palatino Linotype" w:cs="Arial"/>
          <w:b/>
          <w:bCs/>
          <w:i/>
        </w:rPr>
      </w:pPr>
      <w:r w:rsidRPr="003964DA">
        <w:rPr>
          <w:rFonts w:ascii="Palatino Linotype" w:hAnsi="Palatino Linotype" w:cs="Arial"/>
          <w:b/>
          <w:bCs/>
          <w:i/>
        </w:rPr>
        <w:t>Constitución Política de los Estados Unidos Mexicanos</w:t>
      </w:r>
    </w:p>
    <w:p w:rsidR="00AF62AA" w:rsidRPr="003964DA" w:rsidRDefault="00AF62AA" w:rsidP="00DD323C">
      <w:pPr>
        <w:spacing w:line="240" w:lineRule="auto"/>
        <w:ind w:left="567" w:right="567"/>
        <w:jc w:val="both"/>
        <w:rPr>
          <w:rFonts w:ascii="Palatino Linotype" w:hAnsi="Palatino Linotype" w:cs="Arial"/>
          <w:bCs/>
          <w:i/>
        </w:rPr>
      </w:pPr>
      <w:r w:rsidRPr="003964DA">
        <w:rPr>
          <w:rFonts w:ascii="Palatino Linotype" w:hAnsi="Palatino Linotype" w:cs="Arial"/>
          <w:b/>
          <w:bCs/>
          <w:i/>
        </w:rPr>
        <w:t xml:space="preserve">Artículo </w:t>
      </w:r>
      <w:proofErr w:type="gramStart"/>
      <w:r w:rsidRPr="003964DA">
        <w:rPr>
          <w:rFonts w:ascii="Palatino Linotype" w:hAnsi="Palatino Linotype" w:cs="Arial"/>
          <w:b/>
          <w:bCs/>
          <w:i/>
        </w:rPr>
        <w:t>6o.</w:t>
      </w:r>
      <w:r w:rsidRPr="003964DA">
        <w:rPr>
          <w:rFonts w:ascii="Palatino Linotype" w:hAnsi="Palatino Linotype" w:cs="Arial"/>
          <w:bCs/>
          <w:i/>
        </w:rPr>
        <w:t xml:space="preserve"> …</w:t>
      </w:r>
      <w:proofErr w:type="gramEnd"/>
    </w:p>
    <w:p w:rsidR="00AF62AA" w:rsidRPr="003964DA" w:rsidRDefault="00AF62AA" w:rsidP="00DD323C">
      <w:pPr>
        <w:spacing w:line="240" w:lineRule="auto"/>
        <w:ind w:left="567" w:right="567"/>
        <w:jc w:val="both"/>
        <w:rPr>
          <w:rFonts w:ascii="Palatino Linotype" w:hAnsi="Palatino Linotype" w:cs="Arial"/>
          <w:bCs/>
          <w:i/>
        </w:rPr>
      </w:pPr>
      <w:r w:rsidRPr="003964DA">
        <w:rPr>
          <w:rFonts w:ascii="Palatino Linotype" w:hAnsi="Palatino Linotype" w:cs="Arial"/>
          <w:bCs/>
          <w:i/>
        </w:rPr>
        <w:t>…</w:t>
      </w:r>
    </w:p>
    <w:p w:rsidR="00AF62AA" w:rsidRPr="003964DA" w:rsidRDefault="00AF62AA" w:rsidP="00AF62AA">
      <w:pPr>
        <w:spacing w:line="360" w:lineRule="auto"/>
        <w:ind w:left="567" w:right="567"/>
        <w:jc w:val="both"/>
        <w:rPr>
          <w:rFonts w:ascii="Palatino Linotype" w:hAnsi="Palatino Linotype" w:cs="Arial"/>
          <w:bCs/>
          <w:i/>
        </w:rPr>
      </w:pPr>
      <w:r w:rsidRPr="003964DA">
        <w:rPr>
          <w:rFonts w:ascii="Palatino Linotype" w:hAnsi="Palatino Linotype" w:cs="Arial"/>
          <w:bCs/>
          <w:i/>
        </w:rPr>
        <w:t>Para efectos de lo dispuesto en el presente artículo se observará lo siguiente:</w:t>
      </w:r>
    </w:p>
    <w:p w:rsidR="00AF62AA" w:rsidRPr="003964DA" w:rsidRDefault="00AF62AA" w:rsidP="00AF62AA">
      <w:pPr>
        <w:spacing w:line="360" w:lineRule="auto"/>
        <w:ind w:left="567" w:right="567"/>
        <w:jc w:val="both"/>
        <w:rPr>
          <w:rFonts w:ascii="Palatino Linotype" w:hAnsi="Palatino Linotype" w:cs="Arial"/>
          <w:b/>
          <w:bCs/>
          <w:i/>
        </w:rPr>
      </w:pPr>
      <w:r w:rsidRPr="003964DA">
        <w:rPr>
          <w:rFonts w:ascii="Palatino Linotype" w:hAnsi="Palatino Linotype" w:cs="Arial"/>
          <w:b/>
          <w:bCs/>
          <w:i/>
        </w:rPr>
        <w:t>A</w:t>
      </w:r>
      <w:r w:rsidRPr="003964DA">
        <w:rPr>
          <w:rFonts w:ascii="Palatino Linotype" w:hAnsi="Palatino Linotype" w:cs="Arial"/>
          <w:bCs/>
          <w:i/>
        </w:rPr>
        <w:t xml:space="preserve">. </w:t>
      </w:r>
      <w:r w:rsidRPr="003964DA">
        <w:rPr>
          <w:rFonts w:ascii="Palatino Linotype" w:hAnsi="Palatino Linotype" w:cs="Arial"/>
          <w:b/>
          <w:bCs/>
          <w:i/>
        </w:rPr>
        <w:t>Para el ejercicio del derecho de acceso a la información</w:t>
      </w:r>
      <w:r w:rsidRPr="003964DA">
        <w:rPr>
          <w:rFonts w:ascii="Palatino Linotype" w:hAnsi="Palatino Linotype" w:cs="Arial"/>
          <w:bCs/>
          <w:i/>
        </w:rPr>
        <w:t xml:space="preserve">, la Federación y </w:t>
      </w:r>
      <w:r w:rsidRPr="003964DA">
        <w:rPr>
          <w:rFonts w:ascii="Palatino Linotype" w:hAnsi="Palatino Linotype" w:cs="Arial"/>
          <w:b/>
          <w:bCs/>
          <w:i/>
        </w:rPr>
        <w:t>las entidades federativas, en el ámbito de sus respectivas competencias, se regirán por los siguientes principios y bases:</w:t>
      </w:r>
    </w:p>
    <w:p w:rsidR="00AF62AA" w:rsidRPr="003964DA" w:rsidRDefault="00AF62AA" w:rsidP="00AF62AA">
      <w:pPr>
        <w:spacing w:line="360" w:lineRule="auto"/>
        <w:ind w:left="567" w:right="567"/>
        <w:jc w:val="both"/>
        <w:rPr>
          <w:rFonts w:ascii="Palatino Linotype" w:hAnsi="Palatino Linotype" w:cs="Arial"/>
          <w:bCs/>
          <w:i/>
        </w:rPr>
      </w:pPr>
      <w:r w:rsidRPr="003964DA">
        <w:rPr>
          <w:rFonts w:ascii="Palatino Linotype" w:hAnsi="Palatino Linotype" w:cs="Arial"/>
          <w:b/>
          <w:bCs/>
          <w:i/>
        </w:rPr>
        <w:t xml:space="preserve">I. </w:t>
      </w:r>
      <w:r w:rsidRPr="003964DA">
        <w:rPr>
          <w:rFonts w:ascii="Palatino Linotype" w:hAnsi="Palatino Linotype" w:cs="Arial"/>
          <w:b/>
          <w:bCs/>
          <w:i/>
        </w:rPr>
        <w:tab/>
        <w:t>Toda la información en posesión de cualquier</w:t>
      </w:r>
      <w:r w:rsidRPr="003964DA">
        <w:rPr>
          <w:rFonts w:ascii="Palatino Linotype" w:hAnsi="Palatino Linotype" w:cs="Arial"/>
          <w:bCs/>
          <w:i/>
        </w:rPr>
        <w:t xml:space="preserve"> </w:t>
      </w:r>
      <w:r w:rsidRPr="003964DA">
        <w:rPr>
          <w:rFonts w:ascii="Palatino Linotype" w:hAnsi="Palatino Linotype" w:cs="Arial"/>
          <w:b/>
          <w:bCs/>
          <w:i/>
        </w:rPr>
        <w:t>autoridad</w:t>
      </w:r>
      <w:r w:rsidRPr="003964DA">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64DA">
        <w:rPr>
          <w:rFonts w:ascii="Palatino Linotype" w:hAnsi="Palatino Linotype" w:cs="Arial"/>
          <w:b/>
          <w:bCs/>
          <w:i/>
          <w:u w:val="single"/>
        </w:rPr>
        <w:t>municipal</w:t>
      </w:r>
      <w:r w:rsidRPr="003964DA">
        <w:rPr>
          <w:rFonts w:ascii="Palatino Linotype" w:hAnsi="Palatino Linotype" w:cs="Arial"/>
          <w:bCs/>
          <w:i/>
        </w:rPr>
        <w:t xml:space="preserve">, </w:t>
      </w:r>
      <w:r w:rsidRPr="003964DA">
        <w:rPr>
          <w:rFonts w:ascii="Palatino Linotype" w:hAnsi="Palatino Linotype" w:cs="Arial"/>
          <w:b/>
          <w:bCs/>
          <w:i/>
        </w:rPr>
        <w:t>es pública</w:t>
      </w:r>
      <w:r w:rsidRPr="003964DA">
        <w:rPr>
          <w:rFonts w:ascii="Palatino Linotype" w:hAnsi="Palatino Linotype" w:cs="Arial"/>
          <w:bCs/>
          <w:i/>
        </w:rPr>
        <w:t xml:space="preserve"> y sólo podrá ser reservada temporalmente por razones de interés público y seguridad nacional, en los términos que fijen las leyes. </w:t>
      </w:r>
      <w:r w:rsidRPr="003964DA">
        <w:rPr>
          <w:rFonts w:ascii="Palatino Linotype" w:hAnsi="Palatino Linotype" w:cs="Arial"/>
          <w:b/>
          <w:bCs/>
          <w:i/>
        </w:rPr>
        <w:t xml:space="preserve">En la interpretación de este derecho deberá prevalecer el principio de máxima publicidad. </w:t>
      </w:r>
      <w:r w:rsidRPr="003964DA">
        <w:rPr>
          <w:rFonts w:ascii="Palatino Linotype" w:hAnsi="Palatino Linotype" w:cs="Arial"/>
          <w:b/>
          <w:bCs/>
          <w:i/>
          <w:u w:val="single"/>
        </w:rPr>
        <w:t xml:space="preserve">Los sujetos obligados deberán documentar todo acto que </w:t>
      </w:r>
      <w:r w:rsidRPr="003964DA">
        <w:rPr>
          <w:rFonts w:ascii="Palatino Linotype" w:hAnsi="Palatino Linotype" w:cs="Arial"/>
          <w:b/>
          <w:bCs/>
          <w:i/>
          <w:u w:val="single"/>
        </w:rPr>
        <w:lastRenderedPageBreak/>
        <w:t>derive del ejercicio de sus facultades, competencias o funciones</w:t>
      </w:r>
      <w:r w:rsidRPr="003964DA">
        <w:rPr>
          <w:rFonts w:ascii="Palatino Linotype" w:hAnsi="Palatino Linotype" w:cs="Arial"/>
          <w:bCs/>
          <w:i/>
        </w:rPr>
        <w:t>, la ley determinará los supuestos específicos bajo los cuales procederá la declaración de inexistencia de la información.</w:t>
      </w:r>
    </w:p>
    <w:p w:rsidR="00AF62AA" w:rsidRPr="003964DA" w:rsidRDefault="00AF62AA" w:rsidP="00AF62AA">
      <w:pPr>
        <w:spacing w:line="360" w:lineRule="auto"/>
        <w:ind w:left="567" w:right="567"/>
        <w:jc w:val="center"/>
        <w:rPr>
          <w:rFonts w:ascii="Palatino Linotype" w:hAnsi="Palatino Linotype" w:cs="Arial"/>
          <w:b/>
          <w:bCs/>
          <w:i/>
        </w:rPr>
      </w:pPr>
      <w:r w:rsidRPr="003964DA">
        <w:rPr>
          <w:rFonts w:ascii="Palatino Linotype" w:hAnsi="Palatino Linotype" w:cs="Arial"/>
          <w:b/>
          <w:bCs/>
          <w:i/>
        </w:rPr>
        <w:t>Constitución Política del Estado Libre y Soberano de México</w:t>
      </w:r>
    </w:p>
    <w:p w:rsidR="00AF62AA" w:rsidRPr="003964DA" w:rsidRDefault="00AF62AA" w:rsidP="00DD323C">
      <w:pPr>
        <w:spacing w:line="240" w:lineRule="auto"/>
        <w:ind w:left="567" w:right="567"/>
        <w:jc w:val="both"/>
        <w:rPr>
          <w:rFonts w:ascii="Palatino Linotype" w:hAnsi="Palatino Linotype" w:cs="Arial"/>
          <w:bCs/>
          <w:i/>
        </w:rPr>
      </w:pPr>
      <w:r w:rsidRPr="003964DA">
        <w:rPr>
          <w:rFonts w:ascii="Palatino Linotype" w:hAnsi="Palatino Linotype" w:cs="Arial"/>
          <w:b/>
          <w:bCs/>
          <w:i/>
        </w:rPr>
        <w:t>Artículo 5</w:t>
      </w:r>
      <w:r w:rsidRPr="003964DA">
        <w:rPr>
          <w:rFonts w:ascii="Palatino Linotype" w:hAnsi="Palatino Linotype" w:cs="Arial"/>
          <w:bCs/>
          <w:i/>
        </w:rPr>
        <w:t>.</w:t>
      </w:r>
      <w:proofErr w:type="gramStart"/>
      <w:r w:rsidRPr="003964DA">
        <w:rPr>
          <w:rFonts w:ascii="Palatino Linotype" w:hAnsi="Palatino Linotype" w:cs="Arial"/>
          <w:bCs/>
          <w:i/>
        </w:rPr>
        <w:t>- …</w:t>
      </w:r>
      <w:proofErr w:type="gramEnd"/>
    </w:p>
    <w:p w:rsidR="00AF62AA" w:rsidRPr="003964DA" w:rsidRDefault="00AF62AA" w:rsidP="00DD323C">
      <w:pPr>
        <w:spacing w:line="240" w:lineRule="auto"/>
        <w:ind w:left="567" w:right="567"/>
        <w:jc w:val="both"/>
        <w:rPr>
          <w:rFonts w:ascii="Palatino Linotype" w:hAnsi="Palatino Linotype" w:cs="Arial"/>
          <w:bCs/>
          <w:i/>
        </w:rPr>
      </w:pPr>
      <w:r w:rsidRPr="003964DA">
        <w:rPr>
          <w:rFonts w:ascii="Palatino Linotype" w:hAnsi="Palatino Linotype" w:cs="Arial"/>
          <w:bCs/>
          <w:i/>
        </w:rPr>
        <w:t>…</w:t>
      </w:r>
    </w:p>
    <w:p w:rsidR="00AF62AA" w:rsidRPr="003964DA" w:rsidRDefault="00AF62AA" w:rsidP="00DD323C">
      <w:pPr>
        <w:spacing w:line="240" w:lineRule="auto"/>
        <w:ind w:left="567" w:right="567"/>
        <w:jc w:val="both"/>
        <w:rPr>
          <w:rFonts w:ascii="Palatino Linotype" w:hAnsi="Palatino Linotype" w:cs="Arial"/>
          <w:bCs/>
          <w:i/>
        </w:rPr>
      </w:pPr>
      <w:r w:rsidRPr="003964DA">
        <w:rPr>
          <w:rFonts w:ascii="Palatino Linotype" w:hAnsi="Palatino Linotype" w:cs="Arial"/>
          <w:b/>
          <w:bCs/>
          <w:i/>
          <w:u w:val="single"/>
        </w:rPr>
        <w:t>El derecho a la información será garantizado por el Estado</w:t>
      </w:r>
      <w:r w:rsidRPr="003964DA">
        <w:rPr>
          <w:rFonts w:ascii="Palatino Linotype" w:hAnsi="Palatino Linotype" w:cs="Arial"/>
          <w:b/>
          <w:bCs/>
          <w:i/>
        </w:rPr>
        <w:t>. La ley establecerá las previsiones que permitan asegurar la protección, el respeto y la difusión de este derecho</w:t>
      </w:r>
      <w:r w:rsidRPr="003964DA">
        <w:rPr>
          <w:rFonts w:ascii="Palatino Linotype" w:hAnsi="Palatino Linotype" w:cs="Arial"/>
          <w:bCs/>
          <w:i/>
        </w:rPr>
        <w:t>.</w:t>
      </w:r>
    </w:p>
    <w:p w:rsidR="00AF62AA" w:rsidRPr="003964DA" w:rsidRDefault="00AF62AA" w:rsidP="00AF62AA">
      <w:pPr>
        <w:spacing w:line="360" w:lineRule="auto"/>
        <w:ind w:left="567" w:right="567"/>
        <w:jc w:val="both"/>
        <w:rPr>
          <w:rFonts w:ascii="Palatino Linotype" w:hAnsi="Palatino Linotype" w:cs="Arial"/>
          <w:bCs/>
          <w:i/>
        </w:rPr>
      </w:pPr>
      <w:r w:rsidRPr="003964DA">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F62AA" w:rsidRPr="003964DA" w:rsidRDefault="00AF62AA" w:rsidP="00AF62AA">
      <w:pPr>
        <w:spacing w:line="360" w:lineRule="auto"/>
        <w:ind w:left="567" w:right="567"/>
        <w:jc w:val="both"/>
        <w:rPr>
          <w:rFonts w:ascii="Palatino Linotype" w:hAnsi="Palatino Linotype" w:cs="Arial"/>
          <w:bCs/>
          <w:i/>
        </w:rPr>
      </w:pPr>
      <w:r w:rsidRPr="003964DA">
        <w:rPr>
          <w:rFonts w:ascii="Palatino Linotype" w:hAnsi="Palatino Linotype" w:cs="Arial"/>
          <w:b/>
          <w:bCs/>
          <w:i/>
          <w:u w:val="single"/>
        </w:rPr>
        <w:t>Este derecho se regirá por los principios y bases siguientes</w:t>
      </w:r>
      <w:r w:rsidRPr="003964DA">
        <w:rPr>
          <w:rFonts w:ascii="Palatino Linotype" w:hAnsi="Palatino Linotype" w:cs="Arial"/>
          <w:bCs/>
          <w:i/>
        </w:rPr>
        <w:t>:</w:t>
      </w:r>
    </w:p>
    <w:p w:rsidR="00AF62AA" w:rsidRPr="003964DA" w:rsidRDefault="00AF62AA" w:rsidP="00AF62AA">
      <w:pPr>
        <w:spacing w:line="360" w:lineRule="auto"/>
        <w:ind w:left="567" w:right="567"/>
        <w:jc w:val="both"/>
        <w:rPr>
          <w:rFonts w:ascii="Palatino Linotype" w:hAnsi="Palatino Linotype" w:cs="Arial"/>
          <w:bCs/>
          <w:i/>
        </w:rPr>
      </w:pPr>
      <w:r w:rsidRPr="003964DA">
        <w:rPr>
          <w:rFonts w:ascii="Palatino Linotype" w:hAnsi="Palatino Linotype" w:cs="Arial"/>
          <w:b/>
          <w:bCs/>
          <w:i/>
        </w:rPr>
        <w:t xml:space="preserve">I. </w:t>
      </w:r>
      <w:r w:rsidRPr="003964DA">
        <w:rPr>
          <w:rFonts w:ascii="Palatino Linotype" w:hAnsi="Palatino Linotype" w:cs="Arial"/>
          <w:b/>
          <w:bCs/>
          <w:i/>
          <w:u w:val="single"/>
        </w:rPr>
        <w:t>Toda la información en posesión de cualquier autoridad, entidad, órgano y organismos de los</w:t>
      </w:r>
      <w:r w:rsidRPr="003964DA">
        <w:rPr>
          <w:rFonts w:ascii="Palatino Linotype" w:hAnsi="Palatino Linotype" w:cs="Arial"/>
          <w:bCs/>
          <w:i/>
        </w:rPr>
        <w:t xml:space="preserve"> Poderes Ejecutivo, Legislativo y Judicial, órganos autónomos, partidos políticos, fideicomisos y fondos públicos estatales </w:t>
      </w:r>
      <w:r w:rsidRPr="009A3F37">
        <w:rPr>
          <w:rFonts w:ascii="Palatino Linotype" w:hAnsi="Palatino Linotype" w:cs="Arial"/>
          <w:bCs/>
          <w:i/>
        </w:rPr>
        <w:t>y municipales</w:t>
      </w:r>
      <w:r w:rsidRPr="003964DA">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64DA">
        <w:rPr>
          <w:rFonts w:ascii="Palatino Linotype" w:hAnsi="Palatino Linotype" w:cs="Arial"/>
          <w:b/>
          <w:bCs/>
          <w:i/>
          <w:u w:val="single"/>
        </w:rPr>
        <w:t>es pública</w:t>
      </w:r>
      <w:r w:rsidRPr="003964DA">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3964DA">
        <w:rPr>
          <w:rFonts w:ascii="Palatino Linotype" w:hAnsi="Palatino Linotype" w:cs="Arial"/>
          <w:b/>
          <w:bCs/>
          <w:i/>
          <w:u w:val="single"/>
        </w:rPr>
        <w:t xml:space="preserve">En la interpretación de este derecho deberá </w:t>
      </w:r>
      <w:r w:rsidRPr="003964DA">
        <w:rPr>
          <w:rFonts w:ascii="Palatino Linotype" w:hAnsi="Palatino Linotype" w:cs="Arial"/>
          <w:b/>
          <w:bCs/>
          <w:i/>
          <w:u w:val="single"/>
        </w:rPr>
        <w:lastRenderedPageBreak/>
        <w:t>prevalecer el principio de máxima publicidad</w:t>
      </w:r>
      <w:r w:rsidRPr="003964DA">
        <w:rPr>
          <w:rFonts w:ascii="Palatino Linotype" w:hAnsi="Palatino Linotype" w:cs="Arial"/>
          <w:bCs/>
          <w:i/>
        </w:rPr>
        <w:t xml:space="preserve">. </w:t>
      </w:r>
      <w:r w:rsidRPr="003964DA">
        <w:rPr>
          <w:rFonts w:ascii="Palatino Linotype" w:hAnsi="Palatino Linotype" w:cs="Arial"/>
          <w:b/>
          <w:bCs/>
          <w:i/>
          <w:u w:val="single"/>
        </w:rPr>
        <w:t>Los sujetos obligados deberán documentar todo acto que derive del ejercicio de sus facultades, competencias o funciones</w:t>
      </w:r>
      <w:r w:rsidRPr="003964DA">
        <w:rPr>
          <w:rFonts w:ascii="Palatino Linotype" w:hAnsi="Palatino Linotype" w:cs="Arial"/>
          <w:bCs/>
          <w:i/>
        </w:rPr>
        <w:t>, la ley determinará los supuestos específicos bajo los cuales procederá la declaración de inexistencia de la información.</w:t>
      </w:r>
    </w:p>
    <w:p w:rsidR="00AF62AA" w:rsidRPr="009A3F37" w:rsidRDefault="00AF62AA" w:rsidP="00112BF2">
      <w:pPr>
        <w:pStyle w:val="Prrafodelista"/>
        <w:numPr>
          <w:ilvl w:val="0"/>
          <w:numId w:val="11"/>
        </w:numPr>
        <w:spacing w:before="240" w:after="240" w:line="360" w:lineRule="auto"/>
        <w:ind w:left="426" w:hanging="426"/>
        <w:jc w:val="both"/>
        <w:rPr>
          <w:rFonts w:ascii="Palatino Linotype" w:hAnsi="Palatino Linotype" w:cs="Arial"/>
          <w:sz w:val="24"/>
        </w:rPr>
      </w:pPr>
      <w:r w:rsidRPr="009A3F37">
        <w:rPr>
          <w:rFonts w:ascii="Palatino Linotype" w:hAnsi="Palatino Linotype" w:cs="Arial"/>
          <w:sz w:val="24"/>
        </w:rPr>
        <w:t>En virtud de ello, en cuanto al derecho humano de acceso a la información pública la información en posesión de las autoridades es pública. Aunado a ello,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AF62AA" w:rsidRPr="009A3F37" w:rsidRDefault="00AF62AA" w:rsidP="00112BF2">
      <w:pPr>
        <w:pStyle w:val="Prrafodelista"/>
        <w:spacing w:before="240" w:after="240" w:line="360" w:lineRule="auto"/>
        <w:ind w:left="426" w:hanging="426"/>
        <w:jc w:val="both"/>
        <w:rPr>
          <w:rFonts w:ascii="Palatino Linotype" w:hAnsi="Palatino Linotype" w:cs="Arial"/>
          <w:sz w:val="24"/>
        </w:rPr>
      </w:pPr>
    </w:p>
    <w:p w:rsidR="00AF62AA" w:rsidRPr="009A3F37" w:rsidRDefault="00AF62AA" w:rsidP="00112BF2">
      <w:pPr>
        <w:pStyle w:val="Prrafodelista"/>
        <w:numPr>
          <w:ilvl w:val="0"/>
          <w:numId w:val="11"/>
        </w:numPr>
        <w:spacing w:before="240" w:after="240" w:line="360" w:lineRule="auto"/>
        <w:ind w:left="426" w:hanging="426"/>
        <w:jc w:val="both"/>
        <w:rPr>
          <w:rFonts w:ascii="Palatino Linotype" w:hAnsi="Palatino Linotype" w:cs="Arial"/>
          <w:sz w:val="24"/>
        </w:rPr>
      </w:pPr>
      <w:r w:rsidRPr="009A3F37">
        <w:rPr>
          <w:rFonts w:ascii="Palatino Linotype" w:hAnsi="Palatino Linotype" w:cs="Arial"/>
          <w:sz w:val="24"/>
        </w:rPr>
        <w:t xml:space="preserve">Por tanto, en cumplimiento a las obligaciones que la Carta Fundante Básica, la Constitución Estatal y la Ley de la materia le imponen, el </w:t>
      </w:r>
      <w:r w:rsidRPr="009A3F37">
        <w:rPr>
          <w:rFonts w:ascii="Palatino Linotype" w:hAnsi="Palatino Linotype" w:cs="Arial"/>
          <w:b/>
          <w:sz w:val="24"/>
        </w:rPr>
        <w:t>SUJETO OBLIGADO</w:t>
      </w:r>
      <w:r w:rsidRPr="009A3F37">
        <w:rPr>
          <w:rFonts w:ascii="Palatino Linotype" w:hAnsi="Palatino Linotype" w:cs="Arial"/>
          <w:sz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9A3F37">
        <w:rPr>
          <w:rFonts w:ascii="Palatino Linotype" w:hAnsi="Palatino Linotype" w:cs="Arial"/>
          <w:b/>
          <w:sz w:val="24"/>
        </w:rPr>
        <w:t>SUJETO OBLIGADO</w:t>
      </w:r>
      <w:r w:rsidRPr="009A3F37">
        <w:rPr>
          <w:rFonts w:ascii="Palatino Linotype" w:hAnsi="Palatino Linotype" w:cs="Arial"/>
          <w:sz w:val="24"/>
        </w:rPr>
        <w:t xml:space="preserve"> fue omiso en dar respuesta a la</w:t>
      </w:r>
      <w:r w:rsidR="00112BF2" w:rsidRPr="009A3F37">
        <w:rPr>
          <w:rFonts w:ascii="Palatino Linotype" w:hAnsi="Palatino Linotype" w:cs="Arial"/>
          <w:sz w:val="24"/>
        </w:rPr>
        <w:t>s</w:t>
      </w:r>
      <w:r w:rsidRPr="009A3F37">
        <w:rPr>
          <w:rFonts w:ascii="Palatino Linotype" w:hAnsi="Palatino Linotype" w:cs="Arial"/>
          <w:sz w:val="24"/>
        </w:rPr>
        <w:t xml:space="preserve"> solicitud</w:t>
      </w:r>
      <w:r w:rsidR="00112BF2" w:rsidRPr="009A3F37">
        <w:rPr>
          <w:rFonts w:ascii="Palatino Linotype" w:hAnsi="Palatino Linotype" w:cs="Arial"/>
          <w:sz w:val="24"/>
        </w:rPr>
        <w:t>es</w:t>
      </w:r>
      <w:r w:rsidRPr="009A3F37">
        <w:rPr>
          <w:rFonts w:ascii="Palatino Linotype" w:hAnsi="Palatino Linotype" w:cs="Arial"/>
          <w:sz w:val="24"/>
        </w:rPr>
        <w:t xml:space="preserve">. </w:t>
      </w:r>
    </w:p>
    <w:p w:rsidR="00112BF2" w:rsidRPr="00112BF2" w:rsidRDefault="00112BF2" w:rsidP="00112BF2">
      <w:pPr>
        <w:pStyle w:val="Prrafodelista"/>
        <w:ind w:left="426" w:hanging="426"/>
        <w:rPr>
          <w:rFonts w:ascii="Palatino Linotype" w:hAnsi="Palatino Linotype" w:cs="Arial"/>
        </w:rPr>
      </w:pPr>
    </w:p>
    <w:p w:rsidR="00AF62AA" w:rsidRPr="009A3F37" w:rsidRDefault="00AF62AA" w:rsidP="00112BF2">
      <w:pPr>
        <w:pStyle w:val="Prrafodelista"/>
        <w:numPr>
          <w:ilvl w:val="0"/>
          <w:numId w:val="11"/>
        </w:numPr>
        <w:spacing w:before="240" w:after="240" w:line="360" w:lineRule="auto"/>
        <w:ind w:left="426" w:hanging="426"/>
        <w:jc w:val="both"/>
        <w:rPr>
          <w:rFonts w:ascii="Palatino Linotype" w:eastAsia="Calibri" w:hAnsi="Palatino Linotype" w:cs="Times New Roman"/>
          <w:sz w:val="24"/>
          <w:lang w:val="es-ES"/>
        </w:rPr>
      </w:pPr>
      <w:r w:rsidRPr="009A3F37">
        <w:rPr>
          <w:rFonts w:ascii="Palatino Linotype" w:eastAsia="Calibri" w:hAnsi="Palatino Linotype" w:cs="Times New Roman"/>
          <w:sz w:val="24"/>
          <w:lang w:val="es-ES"/>
        </w:rPr>
        <w:t xml:space="preserve">De tal manera que la omisión del Titular de la Unidad de Transparencia, como primer responsable de ello de acuerdo de lo dispuesto por el artículo 53 fracción </w:t>
      </w:r>
      <w:r w:rsidRPr="009A3F37">
        <w:rPr>
          <w:rFonts w:ascii="Palatino Linotype" w:eastAsia="Calibri" w:hAnsi="Palatino Linotype" w:cs="Times New Roman"/>
          <w:sz w:val="24"/>
          <w:lang w:val="es-ES"/>
        </w:rPr>
        <w:lastRenderedPageBreak/>
        <w:t>II de la Ley de la materia, a atender la solicitud de información, se traduce en una conducta que ha vulnerado el derecho de acceso a la información.</w:t>
      </w:r>
    </w:p>
    <w:p w:rsidR="00AF62AA" w:rsidRDefault="00AF62AA" w:rsidP="00112BF2">
      <w:pPr>
        <w:pStyle w:val="Prrafodelista"/>
        <w:spacing w:before="240" w:after="240" w:line="360" w:lineRule="auto"/>
        <w:ind w:left="426" w:hanging="426"/>
        <w:jc w:val="both"/>
        <w:rPr>
          <w:rFonts w:ascii="Palatino Linotype" w:eastAsia="Calibri" w:hAnsi="Palatino Linotype" w:cs="Times New Roman"/>
          <w:lang w:val="es-ES"/>
        </w:rPr>
      </w:pPr>
    </w:p>
    <w:p w:rsidR="00AF62AA" w:rsidRPr="009A3F37" w:rsidRDefault="00AF62AA" w:rsidP="00112BF2">
      <w:pPr>
        <w:pStyle w:val="Prrafodelista"/>
        <w:numPr>
          <w:ilvl w:val="0"/>
          <w:numId w:val="11"/>
        </w:numPr>
        <w:spacing w:before="240" w:after="240" w:line="360" w:lineRule="auto"/>
        <w:ind w:left="426" w:hanging="426"/>
        <w:jc w:val="both"/>
        <w:rPr>
          <w:rFonts w:ascii="Palatino Linotype" w:eastAsia="Calibri" w:hAnsi="Palatino Linotype" w:cs="Times New Roman"/>
          <w:sz w:val="24"/>
          <w:lang w:val="es-ES"/>
        </w:rPr>
      </w:pPr>
      <w:r w:rsidRPr="009A3F37">
        <w:rPr>
          <w:rFonts w:ascii="Palatino Linotype" w:eastAsia="Calibri" w:hAnsi="Palatino Linotype" w:cs="Times New Roman"/>
          <w:sz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A3F37">
        <w:rPr>
          <w:rFonts w:ascii="Palatino Linotype" w:eastAsia="Calibri" w:hAnsi="Palatino Linotype" w:cs="Times New Roman"/>
          <w:i/>
          <w:sz w:val="24"/>
          <w:lang w:val="es-ES"/>
        </w:rPr>
        <w:t xml:space="preserve">en el ámbito de sus atribuciones, de promover, respetar, proteger y </w:t>
      </w:r>
      <w:r w:rsidRPr="009A3F37">
        <w:rPr>
          <w:rFonts w:ascii="Palatino Linotype" w:eastAsia="Calibri" w:hAnsi="Palatino Linotype" w:cs="Times New Roman"/>
          <w:b/>
          <w:i/>
          <w:sz w:val="24"/>
          <w:lang w:val="es-ES"/>
        </w:rPr>
        <w:t>garantizar</w:t>
      </w:r>
      <w:r w:rsidRPr="009A3F37">
        <w:rPr>
          <w:rFonts w:ascii="Palatino Linotype" w:eastAsia="Calibri" w:hAnsi="Palatino Linotype" w:cs="Times New Roman"/>
          <w:i/>
          <w:sz w:val="24"/>
          <w:lang w:val="es-ES"/>
        </w:rPr>
        <w:t xml:space="preserve"> los derechos humanos. </w:t>
      </w:r>
      <w:r w:rsidRPr="009A3F37">
        <w:rPr>
          <w:rFonts w:ascii="Palatino Linotype" w:eastAsia="Calibri" w:hAnsi="Palatino Linotype" w:cs="Times New Roman"/>
          <w:sz w:val="24"/>
          <w:lang w:val="es-ES"/>
        </w:rPr>
        <w:t xml:space="preserve">En este mismo sentido, debe considerarse que según lo dispuesto por el artículo 150 de la Ley de Transparencia y Acceso a la Información Pública del Estado de México y Municipios, el </w:t>
      </w:r>
      <w:r w:rsidRPr="009A3F37">
        <w:rPr>
          <w:rFonts w:ascii="Palatino Linotype" w:eastAsia="Calibri" w:hAnsi="Palatino Linotype" w:cs="Times New Roman"/>
          <w:i/>
          <w:sz w:val="24"/>
          <w:lang w:val="es-ES"/>
        </w:rPr>
        <w:t>procedimiento de acceso a la información es la garantía primaria del derecho en cuestión.</w:t>
      </w:r>
      <w:r w:rsidRPr="009A3F37">
        <w:rPr>
          <w:rFonts w:ascii="Palatino Linotype" w:eastAsia="Calibri" w:hAnsi="Palatino Linotype" w:cs="Times New Roman"/>
          <w:sz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A3F37">
        <w:rPr>
          <w:rFonts w:ascii="Palatino Linotype" w:eastAsia="Calibri" w:hAnsi="Palatino Linotype" w:cs="Times New Roman"/>
          <w:i/>
          <w:sz w:val="24"/>
          <w:lang w:val="es-ES"/>
        </w:rPr>
        <w:t>investigar, sancionar y reparar las violaciones a los derechos humanos.</w:t>
      </w:r>
      <w:r w:rsidRPr="009A3F37">
        <w:rPr>
          <w:rFonts w:ascii="Palatino Linotype" w:eastAsia="Calibri" w:hAnsi="Palatino Linotype" w:cs="Times New Roman"/>
          <w:sz w:val="24"/>
          <w:lang w:val="es-ES"/>
        </w:rPr>
        <w:t xml:space="preserve"> </w:t>
      </w:r>
    </w:p>
    <w:p w:rsidR="00AF62AA" w:rsidRPr="009A3F37" w:rsidRDefault="00AF62AA" w:rsidP="00112BF2">
      <w:pPr>
        <w:pStyle w:val="Prrafodelista"/>
        <w:ind w:left="426" w:hanging="426"/>
        <w:rPr>
          <w:rFonts w:ascii="Palatino Linotype" w:eastAsia="Calibri" w:hAnsi="Palatino Linotype" w:cs="Times New Roman"/>
          <w:sz w:val="24"/>
          <w:lang w:val="es-ES"/>
        </w:rPr>
      </w:pPr>
    </w:p>
    <w:p w:rsidR="00AF62AA" w:rsidRPr="009A3F37" w:rsidRDefault="00AF62AA" w:rsidP="00112BF2">
      <w:pPr>
        <w:pStyle w:val="Prrafodelista"/>
        <w:numPr>
          <w:ilvl w:val="0"/>
          <w:numId w:val="11"/>
        </w:numPr>
        <w:spacing w:before="240" w:after="240" w:line="360" w:lineRule="auto"/>
        <w:ind w:left="426" w:hanging="426"/>
        <w:jc w:val="both"/>
        <w:rPr>
          <w:rFonts w:ascii="Palatino Linotype" w:eastAsia="Calibri" w:hAnsi="Palatino Linotype" w:cs="Times New Roman"/>
          <w:sz w:val="24"/>
          <w:lang w:val="es-ES"/>
        </w:rPr>
      </w:pPr>
      <w:r w:rsidRPr="009A3F37">
        <w:rPr>
          <w:rFonts w:ascii="Palatino Linotype" w:eastAsia="Calibri" w:hAnsi="Palatino Linotype" w:cs="Times New Roman"/>
          <w:sz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9A3F37">
        <w:rPr>
          <w:rFonts w:ascii="Palatino Linotype" w:eastAsia="Calibri" w:hAnsi="Palatino Linotype" w:cs="Times New Roman"/>
          <w:sz w:val="24"/>
          <w:lang w:val="es-ES"/>
        </w:rPr>
        <w:lastRenderedPageBreak/>
        <w:t xml:space="preserve">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112BF2" w:rsidRPr="00112BF2" w:rsidRDefault="00112BF2" w:rsidP="00112BF2">
      <w:pPr>
        <w:pStyle w:val="Prrafodelista"/>
        <w:rPr>
          <w:rFonts w:ascii="Palatino Linotype" w:eastAsia="Calibri" w:hAnsi="Palatino Linotype" w:cs="Times New Roman"/>
          <w:lang w:val="es-ES"/>
        </w:rPr>
      </w:pPr>
    </w:p>
    <w:p w:rsidR="00112BF2" w:rsidRPr="009A3F37" w:rsidRDefault="00112BF2" w:rsidP="00112BF2">
      <w:pPr>
        <w:pStyle w:val="Ttulo1"/>
        <w:numPr>
          <w:ilvl w:val="0"/>
          <w:numId w:val="43"/>
        </w:numPr>
        <w:rPr>
          <w:b w:val="0"/>
          <w:color w:val="000000" w:themeColor="text1"/>
          <w:szCs w:val="24"/>
        </w:rPr>
      </w:pPr>
      <w:bookmarkStart w:id="5" w:name="_Toc486525259"/>
      <w:bookmarkStart w:id="6" w:name="_Toc499204362"/>
      <w:bookmarkStart w:id="7" w:name="_Toc525572202"/>
      <w:r w:rsidRPr="009A3F37">
        <w:rPr>
          <w:color w:val="000000" w:themeColor="text1"/>
          <w:szCs w:val="24"/>
        </w:rPr>
        <w:t>Vista a los órganos de control interno</w:t>
      </w:r>
      <w:bookmarkEnd w:id="5"/>
      <w:bookmarkEnd w:id="6"/>
      <w:bookmarkEnd w:id="7"/>
    </w:p>
    <w:p w:rsidR="00112BF2" w:rsidRPr="009A3F37" w:rsidRDefault="00112BF2" w:rsidP="00112BF2">
      <w:pPr>
        <w:pStyle w:val="Prrafodelista"/>
        <w:numPr>
          <w:ilvl w:val="0"/>
          <w:numId w:val="11"/>
        </w:numPr>
        <w:spacing w:before="240" w:after="240" w:line="360" w:lineRule="auto"/>
        <w:ind w:left="426" w:hanging="426"/>
        <w:jc w:val="both"/>
        <w:rPr>
          <w:rFonts w:ascii="Palatino Linotype" w:eastAsia="Calibri" w:hAnsi="Palatino Linotype" w:cs="Times New Roman"/>
          <w:sz w:val="24"/>
          <w:szCs w:val="24"/>
          <w:lang w:val="es-ES"/>
        </w:rPr>
      </w:pPr>
      <w:r w:rsidRPr="009A3F37">
        <w:rPr>
          <w:rFonts w:ascii="Palatino Linotype" w:eastAsia="Calibri" w:hAnsi="Palatino Linotype" w:cs="Times New Roman"/>
          <w:sz w:val="24"/>
          <w:szCs w:val="24"/>
          <w:lang w:val="es-ES"/>
        </w:rPr>
        <w:t xml:space="preserve">En conclusión, el hecho de que se trata de información que fue requerida en momento anterior, por la misma persona ante el mismo Sujeto Obligado, no es razón justificada para que no se de vista al órgano de control interno en razón de si bien es cierto </w:t>
      </w:r>
      <w:r w:rsidRPr="009A3F37">
        <w:rPr>
          <w:rFonts w:ascii="Palatino Linotype" w:hAnsi="Palatino Linotype"/>
          <w:sz w:val="24"/>
          <w:szCs w:val="24"/>
        </w:rPr>
        <w:t xml:space="preserve">el recurso de revisión previsto en la Ley de la materia no es el medio para investigar y en su caso, sancionar a servidores públicos por la omisión de la entrega de información pública o en la atención a solicitudes de información, también lo es </w:t>
      </w:r>
      <w:r w:rsidR="002F60E1" w:rsidRPr="009A3F37">
        <w:rPr>
          <w:rFonts w:ascii="Palatino Linotype" w:hAnsi="Palatino Linotype"/>
          <w:sz w:val="24"/>
          <w:szCs w:val="24"/>
        </w:rPr>
        <w:t xml:space="preserve">dado a la omisión de atender y dar trámite a la solicitud debió darse vista </w:t>
      </w:r>
      <w:r w:rsidRPr="009A3F37">
        <w:rPr>
          <w:rFonts w:ascii="Palatino Linotype" w:hAnsi="Palatino Linotype"/>
          <w:sz w:val="24"/>
          <w:szCs w:val="24"/>
        </w:rPr>
        <w:t xml:space="preserve">al área competente para que en ejercicio de sus atribuciones realice las investigaciones pertinentes por las omisiones detectadas atribuibles al </w:t>
      </w:r>
      <w:r w:rsidRPr="009A3F37">
        <w:rPr>
          <w:rFonts w:ascii="Palatino Linotype" w:hAnsi="Palatino Linotype"/>
          <w:b/>
          <w:sz w:val="24"/>
          <w:szCs w:val="24"/>
        </w:rPr>
        <w:t>SUJETO OBLIGADO</w:t>
      </w:r>
      <w:r w:rsidRPr="009A3F37">
        <w:rPr>
          <w:rFonts w:ascii="Palatino Linotype" w:hAnsi="Palatino Linotype"/>
          <w:sz w:val="24"/>
          <w:szCs w:val="24"/>
        </w:rPr>
        <w:t>.</w:t>
      </w:r>
    </w:p>
    <w:p w:rsidR="002F60E1" w:rsidRPr="009A3F37" w:rsidRDefault="002F60E1" w:rsidP="002F60E1">
      <w:pPr>
        <w:pStyle w:val="Prrafodelista"/>
        <w:spacing w:before="240" w:after="240" w:line="360" w:lineRule="auto"/>
        <w:ind w:left="426"/>
        <w:jc w:val="both"/>
        <w:rPr>
          <w:rFonts w:ascii="Palatino Linotype" w:eastAsia="Calibri" w:hAnsi="Palatino Linotype" w:cs="Times New Roman"/>
          <w:sz w:val="24"/>
          <w:szCs w:val="24"/>
          <w:lang w:val="es-ES"/>
        </w:rPr>
      </w:pPr>
    </w:p>
    <w:p w:rsidR="00112BF2" w:rsidRPr="009A3F37" w:rsidRDefault="00112BF2" w:rsidP="002F60E1">
      <w:pPr>
        <w:pStyle w:val="Prrafodelista"/>
        <w:numPr>
          <w:ilvl w:val="0"/>
          <w:numId w:val="11"/>
        </w:numPr>
        <w:spacing w:before="240" w:after="240" w:line="360" w:lineRule="auto"/>
        <w:ind w:left="426" w:hanging="426"/>
        <w:jc w:val="both"/>
        <w:rPr>
          <w:rFonts w:ascii="Palatino Linotype" w:eastAsia="Calibri" w:hAnsi="Palatino Linotype" w:cs="Times New Roman"/>
          <w:sz w:val="24"/>
          <w:szCs w:val="24"/>
          <w:lang w:val="es-ES"/>
        </w:rPr>
      </w:pPr>
      <w:r w:rsidRPr="009A3F37">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lastRenderedPageBreak/>
        <w:t>Artículo 36. El Instituto tendrá, en el ámbito de su competencia, las siguientes atribuciones:</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 xml:space="preserve">X. Hacer del conocimiento del órgano de control interno o equivalente de cada Sujeto Obligado las infracciones a esta Ley; </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w:t>
      </w:r>
    </w:p>
    <w:p w:rsidR="00112BF2" w:rsidRPr="009A3F37" w:rsidRDefault="00112BF2" w:rsidP="002F60E1">
      <w:pPr>
        <w:pStyle w:val="Prrafodelista"/>
        <w:numPr>
          <w:ilvl w:val="0"/>
          <w:numId w:val="11"/>
        </w:numPr>
        <w:spacing w:before="240" w:after="240" w:line="360" w:lineRule="auto"/>
        <w:ind w:left="426" w:hanging="426"/>
        <w:jc w:val="both"/>
        <w:rPr>
          <w:rFonts w:ascii="Palatino Linotype" w:eastAsia="MS Mincho" w:hAnsi="Palatino Linotype" w:cs="Arial"/>
          <w:sz w:val="24"/>
        </w:rPr>
      </w:pPr>
      <w:r w:rsidRPr="009A3F37">
        <w:rPr>
          <w:rFonts w:ascii="Palatino Linotype" w:hAnsi="Palatino Linotype"/>
          <w:sz w:val="24"/>
        </w:rPr>
        <w:t xml:space="preserve">Asimismo, este Pleno hará del conocimiento del órgano de control de este Instituto de las infracciones en que el </w:t>
      </w:r>
      <w:r w:rsidRPr="009A3F37">
        <w:rPr>
          <w:rFonts w:ascii="Palatino Linotype" w:hAnsi="Palatino Linotype"/>
          <w:b/>
          <w:sz w:val="24"/>
        </w:rPr>
        <w:t>SUJETO OBLIGADO</w:t>
      </w:r>
      <w:r w:rsidRPr="009A3F37">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9A3F37">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I. Cualquier acto u omisión que provoque la suspensión o deficiencia en la atención de las solicitudes de información;</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II. La falta de respuesta a las solicitudes de información en los plazos señalados en la normatividad aplicable;</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12BF2" w:rsidRPr="007D75A9" w:rsidRDefault="00112BF2" w:rsidP="00112BF2">
      <w:pPr>
        <w:spacing w:line="360" w:lineRule="auto"/>
        <w:ind w:left="567" w:right="567"/>
        <w:contextualSpacing/>
        <w:jc w:val="both"/>
        <w:rPr>
          <w:rFonts w:ascii="Palatino Linotype" w:hAnsi="Palatino Linotype"/>
          <w:i/>
        </w:rPr>
      </w:pPr>
      <w:r w:rsidRPr="007D75A9">
        <w:rPr>
          <w:rFonts w:ascii="Palatino Linotype" w:hAnsi="Palatino Linotype"/>
          <w:i/>
        </w:rPr>
        <w:t>…</w:t>
      </w:r>
    </w:p>
    <w:p w:rsidR="004074C0" w:rsidRPr="00CB2E7B" w:rsidRDefault="00F7333F" w:rsidP="00526BA8">
      <w:pPr>
        <w:pStyle w:val="Ttulo1"/>
        <w:numPr>
          <w:ilvl w:val="0"/>
          <w:numId w:val="43"/>
        </w:numPr>
        <w:rPr>
          <w:szCs w:val="24"/>
        </w:rPr>
      </w:pPr>
      <w:r w:rsidRPr="00CB2E7B">
        <w:rPr>
          <w:szCs w:val="24"/>
        </w:rPr>
        <w:t xml:space="preserve"> </w:t>
      </w:r>
      <w:bookmarkStart w:id="8" w:name="_Toc525572203"/>
      <w:r w:rsidRPr="00CB2E7B">
        <w:rPr>
          <w:szCs w:val="24"/>
        </w:rPr>
        <w:t>Conclusión.</w:t>
      </w:r>
      <w:bookmarkEnd w:id="8"/>
    </w:p>
    <w:p w:rsidR="00771F1D" w:rsidRPr="00CB2E7B" w:rsidRDefault="00771F1D" w:rsidP="00530CB3">
      <w:pPr>
        <w:ind w:left="426"/>
        <w:rPr>
          <w:rFonts w:ascii="Palatino Linotype" w:hAnsi="Palatino Linotype"/>
          <w:sz w:val="24"/>
          <w:szCs w:val="24"/>
        </w:rPr>
      </w:pPr>
    </w:p>
    <w:p w:rsidR="004800C4" w:rsidRPr="009A3F37" w:rsidRDefault="00590F11" w:rsidP="009A3F37">
      <w:pPr>
        <w:pStyle w:val="Prrafodelista"/>
        <w:numPr>
          <w:ilvl w:val="0"/>
          <w:numId w:val="11"/>
        </w:numPr>
        <w:spacing w:line="360" w:lineRule="auto"/>
        <w:jc w:val="both"/>
        <w:rPr>
          <w:rFonts w:ascii="Palatino Linotype" w:hAnsi="Palatino Linotype" w:cs="Arial"/>
          <w:sz w:val="24"/>
          <w:szCs w:val="24"/>
        </w:rPr>
      </w:pPr>
      <w:r w:rsidRPr="009A3F37">
        <w:rPr>
          <w:rFonts w:ascii="Palatino Linotype" w:eastAsia="Calibri" w:hAnsi="Palatino Linotype" w:cs="Arial"/>
          <w:sz w:val="24"/>
          <w:szCs w:val="24"/>
        </w:rPr>
        <w:t xml:space="preserve">Considero </w:t>
      </w:r>
      <w:r w:rsidR="002F60E1" w:rsidRPr="009A3F37">
        <w:rPr>
          <w:rFonts w:ascii="Palatino Linotype" w:eastAsia="Calibri" w:hAnsi="Palatino Linotype" w:cs="Arial"/>
          <w:sz w:val="24"/>
          <w:szCs w:val="24"/>
        </w:rPr>
        <w:t xml:space="preserve">firmemente que el hecho de que el presente recurso de revisión se haya sobreseído por tener un precedente </w:t>
      </w:r>
      <w:r w:rsidR="00943EF6">
        <w:rPr>
          <w:rFonts w:ascii="Palatino Linotype" w:eastAsia="Calibri" w:hAnsi="Palatino Linotype" w:cs="Arial"/>
          <w:sz w:val="24"/>
          <w:szCs w:val="24"/>
        </w:rPr>
        <w:t xml:space="preserve">ya resuelto </w:t>
      </w:r>
      <w:r w:rsidR="002F60E1" w:rsidRPr="009A3F37">
        <w:rPr>
          <w:rFonts w:ascii="Palatino Linotype" w:eastAsia="Calibri" w:hAnsi="Palatino Linotype" w:cs="Arial"/>
          <w:sz w:val="24"/>
          <w:szCs w:val="24"/>
        </w:rPr>
        <w:t>donde existe identidad de partes y  requerimientos, no es impedimento para que se tuene oficio al contralor por la omisión del Sujeto Obligado para atender y dar trámite a la solicitud realizada por la parte recurrente.</w:t>
      </w:r>
      <w:r w:rsidR="002F60E1" w:rsidRPr="009A3F37">
        <w:rPr>
          <w:rFonts w:ascii="Palatino Linotype" w:hAnsi="Palatino Linotype" w:cs="Arial"/>
          <w:sz w:val="24"/>
          <w:szCs w:val="24"/>
        </w:rPr>
        <w:t xml:space="preserve"> </w:t>
      </w:r>
    </w:p>
    <w:p w:rsidR="00DB2E2D" w:rsidRDefault="00DB2E2D" w:rsidP="00CD766A">
      <w:pPr>
        <w:spacing w:after="0" w:line="360" w:lineRule="auto"/>
        <w:jc w:val="both"/>
        <w:rPr>
          <w:rFonts w:ascii="Palatino Linotype" w:hAnsi="Palatino Linotype" w:cs="Arial"/>
          <w:sz w:val="24"/>
          <w:szCs w:val="24"/>
        </w:rPr>
      </w:pPr>
    </w:p>
    <w:p w:rsidR="00811283" w:rsidRDefault="00811283" w:rsidP="00CD766A">
      <w:pPr>
        <w:spacing w:after="0" w:line="360" w:lineRule="auto"/>
        <w:jc w:val="both"/>
        <w:rPr>
          <w:rFonts w:ascii="Palatino Linotype" w:hAnsi="Palatino Linotype" w:cs="Arial"/>
          <w:sz w:val="24"/>
          <w:szCs w:val="24"/>
        </w:rPr>
      </w:pPr>
    </w:p>
    <w:p w:rsidR="00943EF6" w:rsidRDefault="00943EF6" w:rsidP="00CD766A">
      <w:pPr>
        <w:spacing w:after="0" w:line="360" w:lineRule="auto"/>
        <w:jc w:val="both"/>
        <w:rPr>
          <w:rFonts w:ascii="Palatino Linotype" w:hAnsi="Palatino Linotype" w:cs="Arial"/>
          <w:sz w:val="24"/>
          <w:szCs w:val="24"/>
        </w:rPr>
      </w:pPr>
    </w:p>
    <w:p w:rsidR="00DB2E2D" w:rsidRPr="00CB2E7B" w:rsidRDefault="00DB2E2D" w:rsidP="00CD766A">
      <w:pPr>
        <w:spacing w:after="0" w:line="360" w:lineRule="auto"/>
        <w:jc w:val="both"/>
        <w:rPr>
          <w:rFonts w:ascii="Palatino Linotype" w:hAnsi="Palatino Linotype" w:cs="Arial"/>
          <w:sz w:val="24"/>
          <w:szCs w:val="24"/>
        </w:rPr>
      </w:pPr>
      <w:bookmarkStart w:id="9" w:name="_GoBack"/>
      <w:bookmarkEnd w:id="9"/>
    </w:p>
    <w:p w:rsidR="00DD323C" w:rsidRPr="00CB2E7B" w:rsidRDefault="00DD323C" w:rsidP="00CD766A">
      <w:pPr>
        <w:spacing w:after="0" w:line="360" w:lineRule="auto"/>
        <w:jc w:val="both"/>
        <w:rPr>
          <w:rFonts w:ascii="Palatino Linotype" w:hAnsi="Palatino Linotype" w:cs="Arial"/>
          <w:sz w:val="24"/>
          <w:szCs w:val="24"/>
        </w:rPr>
      </w:pPr>
    </w:p>
    <w:p w:rsidR="00625340" w:rsidRPr="00CB2E7B" w:rsidRDefault="007A14A8"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J</w:t>
      </w:r>
      <w:r w:rsidR="00625340" w:rsidRPr="00CB2E7B">
        <w:rPr>
          <w:rFonts w:ascii="Palatino Linotype" w:eastAsia="Calibri" w:hAnsi="Palatino Linotype" w:cs="Arial"/>
          <w:b/>
          <w:sz w:val="24"/>
          <w:szCs w:val="24"/>
        </w:rPr>
        <w:t>OSÉ GUADALUPE LUNA HERNÁNDEZ</w:t>
      </w:r>
    </w:p>
    <w:p w:rsidR="00625340" w:rsidRPr="00CB2E7B" w:rsidRDefault="009749F9" w:rsidP="00625340">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C</w:t>
      </w:r>
      <w:r w:rsidR="00625340" w:rsidRPr="00CB2E7B">
        <w:rPr>
          <w:rFonts w:ascii="Palatino Linotype" w:eastAsia="Calibri" w:hAnsi="Palatino Linotype" w:cs="Arial"/>
          <w:b/>
          <w:sz w:val="24"/>
          <w:szCs w:val="24"/>
        </w:rPr>
        <w:t>OMISIONADO</w:t>
      </w:r>
    </w:p>
    <w:p w:rsidR="00E940EB" w:rsidRPr="00CB2E7B" w:rsidRDefault="00F15522" w:rsidP="003431E5">
      <w:pPr>
        <w:spacing w:line="360" w:lineRule="auto"/>
        <w:jc w:val="center"/>
        <w:rPr>
          <w:rFonts w:ascii="Palatino Linotype" w:eastAsia="Calibri" w:hAnsi="Palatino Linotype" w:cs="Arial"/>
          <w:b/>
          <w:sz w:val="24"/>
          <w:szCs w:val="24"/>
        </w:rPr>
      </w:pPr>
      <w:r w:rsidRPr="00CB2E7B">
        <w:rPr>
          <w:rFonts w:ascii="Palatino Linotype" w:eastAsia="Calibri" w:hAnsi="Palatino Linotype" w:cs="Arial"/>
          <w:b/>
          <w:sz w:val="24"/>
          <w:szCs w:val="24"/>
        </w:rPr>
        <w:t>(Rúbrica)</w:t>
      </w:r>
    </w:p>
    <w:p w:rsidR="00DB6CC1" w:rsidRPr="00CB2E7B" w:rsidRDefault="00DB6CC1" w:rsidP="00DB6CC1">
      <w:pPr>
        <w:spacing w:line="360" w:lineRule="auto"/>
        <w:rPr>
          <w:rFonts w:ascii="Palatino Linotype" w:hAnsi="Palatino Linotype"/>
          <w:sz w:val="24"/>
          <w:szCs w:val="24"/>
        </w:rPr>
      </w:pPr>
      <w:r w:rsidRPr="00CB2E7B">
        <w:rPr>
          <w:rFonts w:ascii="Palatino Linotype" w:eastAsia="Calibri" w:hAnsi="Palatino Linotype" w:cs="Arial"/>
          <w:b/>
          <w:sz w:val="24"/>
          <w:szCs w:val="24"/>
        </w:rPr>
        <w:t>JGLH/ADM</w:t>
      </w:r>
    </w:p>
    <w:sectPr w:rsidR="00DB6CC1" w:rsidRPr="00CB2E7B" w:rsidSect="00267F73">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F0A" w:rsidRDefault="001C5F0A" w:rsidP="00DC559A">
      <w:pPr>
        <w:spacing w:after="0" w:line="240" w:lineRule="auto"/>
      </w:pPr>
      <w:r>
        <w:separator/>
      </w:r>
    </w:p>
  </w:endnote>
  <w:endnote w:type="continuationSeparator" w:id="0">
    <w:p w:rsidR="001C5F0A" w:rsidRDefault="001C5F0A"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1A12">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1A12">
              <w:rPr>
                <w:b/>
                <w:bCs/>
                <w:noProof/>
              </w:rPr>
              <w:t>11</w:t>
            </w:r>
            <w:r>
              <w:rPr>
                <w:b/>
                <w:bCs/>
                <w:sz w:val="24"/>
                <w:szCs w:val="24"/>
              </w:rPr>
              <w:fldChar w:fldCharType="end"/>
            </w:r>
          </w:p>
        </w:sdtContent>
      </w:sdt>
    </w:sdtContent>
  </w:sdt>
  <w:p w:rsidR="00951E8B" w:rsidRDefault="00931A12"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F0A" w:rsidRDefault="001C5F0A" w:rsidP="00DC559A">
      <w:pPr>
        <w:spacing w:after="0" w:line="240" w:lineRule="auto"/>
      </w:pPr>
      <w:r>
        <w:separator/>
      </w:r>
    </w:p>
  </w:footnote>
  <w:footnote w:type="continuationSeparator" w:id="0">
    <w:p w:rsidR="001C5F0A" w:rsidRDefault="001C5F0A" w:rsidP="00DC559A">
      <w:pPr>
        <w:spacing w:after="0" w:line="240" w:lineRule="auto"/>
      </w:pPr>
      <w:r>
        <w:continuationSeparator/>
      </w:r>
    </w:p>
  </w:footnote>
  <w:footnote w:id="1">
    <w:p w:rsidR="00112BF2" w:rsidRDefault="00112BF2" w:rsidP="00112BF2">
      <w:pPr>
        <w:pStyle w:val="Textonotapie"/>
      </w:pPr>
      <w:r>
        <w:rPr>
          <w:rStyle w:val="Refdenotaalpie"/>
        </w:rPr>
        <w:footnoteRef/>
      </w:r>
      <w:r>
        <w:t xml:space="preserve"> Convención Americana sobre Derechos Humanos. Artículo 13.</w:t>
      </w:r>
    </w:p>
  </w:footnote>
  <w:footnote w:id="2">
    <w:p w:rsidR="00112BF2" w:rsidRDefault="00112BF2" w:rsidP="00112BF2">
      <w:pPr>
        <w:pStyle w:val="Textonotapie"/>
      </w:pPr>
      <w:r>
        <w:rPr>
          <w:rStyle w:val="Refdenotaalpie"/>
        </w:rPr>
        <w:footnoteRef/>
      </w:r>
      <w:r>
        <w:t xml:space="preserve"> Constitución Política de los Estados Unidos Mexicanos. Artículo sexto, sección A, Fracción I.</w:t>
      </w:r>
    </w:p>
  </w:footnote>
  <w:footnote w:id="3">
    <w:p w:rsidR="00112BF2" w:rsidRDefault="00112BF2" w:rsidP="00112BF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12BF2" w:rsidRDefault="00112BF2" w:rsidP="00112BF2">
      <w:pPr>
        <w:pStyle w:val="Textonotapie"/>
      </w:pPr>
      <w:r>
        <w:rPr>
          <w:rStyle w:val="Refdenotaalpie"/>
        </w:rPr>
        <w:footnoteRef/>
      </w:r>
      <w:r>
        <w:t xml:space="preserve"> Ibídem. Párr. 87.</w:t>
      </w:r>
    </w:p>
  </w:footnote>
  <w:footnote w:id="5">
    <w:p w:rsidR="00112BF2" w:rsidRDefault="00112BF2" w:rsidP="00112BF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31A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31A12">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931A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31A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6E24D2D"/>
    <w:multiLevelType w:val="hybridMultilevel"/>
    <w:tmpl w:val="0556F23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FF1E3E"/>
    <w:multiLevelType w:val="hybridMultilevel"/>
    <w:tmpl w:val="F5EC0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5816EB"/>
    <w:multiLevelType w:val="hybridMultilevel"/>
    <w:tmpl w:val="105E5BAA"/>
    <w:lvl w:ilvl="0" w:tplc="12FE0568">
      <w:start w:val="1"/>
      <w:numFmt w:val="upperRoman"/>
      <w:lvlText w:val="%1."/>
      <w:lvlJc w:val="left"/>
      <w:pPr>
        <w:ind w:left="1080" w:hanging="720"/>
      </w:pPr>
      <w:rPr>
        <w:rFonts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B863DD"/>
    <w:multiLevelType w:val="hybridMultilevel"/>
    <w:tmpl w:val="76868184"/>
    <w:lvl w:ilvl="0" w:tplc="150499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A211F13"/>
    <w:multiLevelType w:val="hybridMultilevel"/>
    <w:tmpl w:val="AFB67696"/>
    <w:lvl w:ilvl="0" w:tplc="C89EEC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42415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6D53B8"/>
    <w:multiLevelType w:val="hybridMultilevel"/>
    <w:tmpl w:val="88C44438"/>
    <w:lvl w:ilvl="0" w:tplc="3EFE09D4">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FC0F3F"/>
    <w:multiLevelType w:val="hybridMultilevel"/>
    <w:tmpl w:val="A156042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27054AB"/>
    <w:multiLevelType w:val="hybridMultilevel"/>
    <w:tmpl w:val="C95450B4"/>
    <w:lvl w:ilvl="0" w:tplc="35D6E02C">
      <w:start w:val="3"/>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9A775E"/>
    <w:multiLevelType w:val="hybridMultilevel"/>
    <w:tmpl w:val="4030D592"/>
    <w:lvl w:ilvl="0" w:tplc="4AC6F410">
      <w:start w:val="8"/>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28A5684"/>
    <w:multiLevelType w:val="hybridMultilevel"/>
    <w:tmpl w:val="8456589E"/>
    <w:lvl w:ilvl="0" w:tplc="3A288B2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abstractNum w:abstractNumId="46">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6"/>
  </w:num>
  <w:num w:numId="3">
    <w:abstractNumId w:val="34"/>
  </w:num>
  <w:num w:numId="4">
    <w:abstractNumId w:val="19"/>
  </w:num>
  <w:num w:numId="5">
    <w:abstractNumId w:val="41"/>
  </w:num>
  <w:num w:numId="6">
    <w:abstractNumId w:val="20"/>
  </w:num>
  <w:num w:numId="7">
    <w:abstractNumId w:val="40"/>
  </w:num>
  <w:num w:numId="8">
    <w:abstractNumId w:val="37"/>
  </w:num>
  <w:num w:numId="9">
    <w:abstractNumId w:val="15"/>
  </w:num>
  <w:num w:numId="10">
    <w:abstractNumId w:val="11"/>
  </w:num>
  <w:num w:numId="11">
    <w:abstractNumId w:val="16"/>
  </w:num>
  <w:num w:numId="12">
    <w:abstractNumId w:val="23"/>
  </w:num>
  <w:num w:numId="13">
    <w:abstractNumId w:val="29"/>
  </w:num>
  <w:num w:numId="14">
    <w:abstractNumId w:val="38"/>
  </w:num>
  <w:num w:numId="15">
    <w:abstractNumId w:val="4"/>
  </w:num>
  <w:num w:numId="16">
    <w:abstractNumId w:val="30"/>
  </w:num>
  <w:num w:numId="17">
    <w:abstractNumId w:val="13"/>
  </w:num>
  <w:num w:numId="18">
    <w:abstractNumId w:val="45"/>
  </w:num>
  <w:num w:numId="19">
    <w:abstractNumId w:val="21"/>
  </w:num>
  <w:num w:numId="20">
    <w:abstractNumId w:val="39"/>
  </w:num>
  <w:num w:numId="21">
    <w:abstractNumId w:val="33"/>
  </w:num>
  <w:num w:numId="22">
    <w:abstractNumId w:val="36"/>
  </w:num>
  <w:num w:numId="23">
    <w:abstractNumId w:val="26"/>
  </w:num>
  <w:num w:numId="24">
    <w:abstractNumId w:val="8"/>
  </w:num>
  <w:num w:numId="25">
    <w:abstractNumId w:val="44"/>
  </w:num>
  <w:num w:numId="26">
    <w:abstractNumId w:val="35"/>
  </w:num>
  <w:num w:numId="27">
    <w:abstractNumId w:val="32"/>
  </w:num>
  <w:num w:numId="28">
    <w:abstractNumId w:val="0"/>
  </w:num>
  <w:num w:numId="29">
    <w:abstractNumId w:val="22"/>
  </w:num>
  <w:num w:numId="30">
    <w:abstractNumId w:val="24"/>
  </w:num>
  <w:num w:numId="31">
    <w:abstractNumId w:val="9"/>
  </w:num>
  <w:num w:numId="32">
    <w:abstractNumId w:val="18"/>
  </w:num>
  <w:num w:numId="33">
    <w:abstractNumId w:val="28"/>
  </w:num>
  <w:num w:numId="34">
    <w:abstractNumId w:val="27"/>
  </w:num>
  <w:num w:numId="35">
    <w:abstractNumId w:val="14"/>
  </w:num>
  <w:num w:numId="36">
    <w:abstractNumId w:val="3"/>
  </w:num>
  <w:num w:numId="37">
    <w:abstractNumId w:val="10"/>
  </w:num>
  <w:num w:numId="38">
    <w:abstractNumId w:val="42"/>
  </w:num>
  <w:num w:numId="39">
    <w:abstractNumId w:val="2"/>
  </w:num>
  <w:num w:numId="40">
    <w:abstractNumId w:val="5"/>
  </w:num>
  <w:num w:numId="41">
    <w:abstractNumId w:val="43"/>
  </w:num>
  <w:num w:numId="42">
    <w:abstractNumId w:val="25"/>
  </w:num>
  <w:num w:numId="43">
    <w:abstractNumId w:val="46"/>
  </w:num>
  <w:num w:numId="44">
    <w:abstractNumId w:val="17"/>
  </w:num>
  <w:num w:numId="45">
    <w:abstractNumId w:val="1"/>
  </w:num>
  <w:num w:numId="46">
    <w:abstractNumId w:val="1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338"/>
    <w:rsid w:val="00005556"/>
    <w:rsid w:val="00013F62"/>
    <w:rsid w:val="0002112E"/>
    <w:rsid w:val="000227F4"/>
    <w:rsid w:val="00026199"/>
    <w:rsid w:val="0002684D"/>
    <w:rsid w:val="00037C7C"/>
    <w:rsid w:val="00064D2B"/>
    <w:rsid w:val="000A12BD"/>
    <w:rsid w:val="000A3711"/>
    <w:rsid w:val="000D5811"/>
    <w:rsid w:val="000D79A0"/>
    <w:rsid w:val="000E08D9"/>
    <w:rsid w:val="000E43AB"/>
    <w:rsid w:val="000F4071"/>
    <w:rsid w:val="00112BF2"/>
    <w:rsid w:val="00123E07"/>
    <w:rsid w:val="00123E1D"/>
    <w:rsid w:val="00134DA0"/>
    <w:rsid w:val="00141135"/>
    <w:rsid w:val="00145961"/>
    <w:rsid w:val="001620F1"/>
    <w:rsid w:val="00175E9F"/>
    <w:rsid w:val="00183A1B"/>
    <w:rsid w:val="00187E2D"/>
    <w:rsid w:val="001A542A"/>
    <w:rsid w:val="001B2F10"/>
    <w:rsid w:val="001B78B7"/>
    <w:rsid w:val="001C5F0A"/>
    <w:rsid w:val="001D09E6"/>
    <w:rsid w:val="001D465C"/>
    <w:rsid w:val="001F1A7A"/>
    <w:rsid w:val="00203EB6"/>
    <w:rsid w:val="0020553B"/>
    <w:rsid w:val="00220BB9"/>
    <w:rsid w:val="0022172A"/>
    <w:rsid w:val="00225758"/>
    <w:rsid w:val="002376B4"/>
    <w:rsid w:val="0025332E"/>
    <w:rsid w:val="00260A10"/>
    <w:rsid w:val="00267F73"/>
    <w:rsid w:val="00274EF3"/>
    <w:rsid w:val="00284349"/>
    <w:rsid w:val="002948E5"/>
    <w:rsid w:val="002959E9"/>
    <w:rsid w:val="002B4023"/>
    <w:rsid w:val="002C430B"/>
    <w:rsid w:val="002D2CD0"/>
    <w:rsid w:val="002D5499"/>
    <w:rsid w:val="002D63B3"/>
    <w:rsid w:val="002F60E1"/>
    <w:rsid w:val="00300947"/>
    <w:rsid w:val="00306AE2"/>
    <w:rsid w:val="00311D9E"/>
    <w:rsid w:val="00320F76"/>
    <w:rsid w:val="00323DF8"/>
    <w:rsid w:val="00336BC3"/>
    <w:rsid w:val="00340665"/>
    <w:rsid w:val="0034151E"/>
    <w:rsid w:val="003431E5"/>
    <w:rsid w:val="00350CF2"/>
    <w:rsid w:val="0036287F"/>
    <w:rsid w:val="00384C92"/>
    <w:rsid w:val="00393382"/>
    <w:rsid w:val="0039566E"/>
    <w:rsid w:val="003B4A57"/>
    <w:rsid w:val="003B6EC6"/>
    <w:rsid w:val="003C35BC"/>
    <w:rsid w:val="003C7564"/>
    <w:rsid w:val="003E275E"/>
    <w:rsid w:val="004058E2"/>
    <w:rsid w:val="004074C0"/>
    <w:rsid w:val="004138F7"/>
    <w:rsid w:val="00432104"/>
    <w:rsid w:val="00435284"/>
    <w:rsid w:val="00460017"/>
    <w:rsid w:val="004665BF"/>
    <w:rsid w:val="004727BE"/>
    <w:rsid w:val="004800C4"/>
    <w:rsid w:val="0048383C"/>
    <w:rsid w:val="004A69D6"/>
    <w:rsid w:val="004B4E07"/>
    <w:rsid w:val="004C273D"/>
    <w:rsid w:val="004C3125"/>
    <w:rsid w:val="004C6910"/>
    <w:rsid w:val="004C73FB"/>
    <w:rsid w:val="004D1010"/>
    <w:rsid w:val="004F3292"/>
    <w:rsid w:val="00517976"/>
    <w:rsid w:val="00526BA8"/>
    <w:rsid w:val="00530CB3"/>
    <w:rsid w:val="005429BB"/>
    <w:rsid w:val="00546237"/>
    <w:rsid w:val="005471F8"/>
    <w:rsid w:val="0056327C"/>
    <w:rsid w:val="00570DFF"/>
    <w:rsid w:val="00571B97"/>
    <w:rsid w:val="00585BED"/>
    <w:rsid w:val="00590F11"/>
    <w:rsid w:val="0059666F"/>
    <w:rsid w:val="005A4257"/>
    <w:rsid w:val="005B54CA"/>
    <w:rsid w:val="005E324F"/>
    <w:rsid w:val="005E6A45"/>
    <w:rsid w:val="005F53BB"/>
    <w:rsid w:val="00602A7F"/>
    <w:rsid w:val="00611AB9"/>
    <w:rsid w:val="006207D7"/>
    <w:rsid w:val="00623541"/>
    <w:rsid w:val="00625340"/>
    <w:rsid w:val="00660259"/>
    <w:rsid w:val="006773C0"/>
    <w:rsid w:val="00684D61"/>
    <w:rsid w:val="0069542E"/>
    <w:rsid w:val="006B3A9D"/>
    <w:rsid w:val="006B5BD5"/>
    <w:rsid w:val="006D22C2"/>
    <w:rsid w:val="006E4346"/>
    <w:rsid w:val="006E775A"/>
    <w:rsid w:val="006E7A8B"/>
    <w:rsid w:val="006F18A4"/>
    <w:rsid w:val="00703F02"/>
    <w:rsid w:val="0070418E"/>
    <w:rsid w:val="00712288"/>
    <w:rsid w:val="00726689"/>
    <w:rsid w:val="00740D72"/>
    <w:rsid w:val="007477B8"/>
    <w:rsid w:val="00756A7F"/>
    <w:rsid w:val="00764FF6"/>
    <w:rsid w:val="007715FF"/>
    <w:rsid w:val="00771D7C"/>
    <w:rsid w:val="00771F1D"/>
    <w:rsid w:val="00781495"/>
    <w:rsid w:val="0078520D"/>
    <w:rsid w:val="0078690A"/>
    <w:rsid w:val="00787C3A"/>
    <w:rsid w:val="00797A7B"/>
    <w:rsid w:val="007A13C3"/>
    <w:rsid w:val="007A14A8"/>
    <w:rsid w:val="007A6841"/>
    <w:rsid w:val="007B4C9B"/>
    <w:rsid w:val="007D5A9C"/>
    <w:rsid w:val="007D67E1"/>
    <w:rsid w:val="007D69A7"/>
    <w:rsid w:val="007E514B"/>
    <w:rsid w:val="0080047C"/>
    <w:rsid w:val="0080411B"/>
    <w:rsid w:val="008107BE"/>
    <w:rsid w:val="00811283"/>
    <w:rsid w:val="00815B5D"/>
    <w:rsid w:val="008413A3"/>
    <w:rsid w:val="00841881"/>
    <w:rsid w:val="0084466E"/>
    <w:rsid w:val="00870BA6"/>
    <w:rsid w:val="00890D79"/>
    <w:rsid w:val="008A491D"/>
    <w:rsid w:val="008B4955"/>
    <w:rsid w:val="008F435F"/>
    <w:rsid w:val="008F4411"/>
    <w:rsid w:val="00900C7B"/>
    <w:rsid w:val="00917801"/>
    <w:rsid w:val="0092289B"/>
    <w:rsid w:val="00927436"/>
    <w:rsid w:val="00931A12"/>
    <w:rsid w:val="00943EF6"/>
    <w:rsid w:val="00957F5D"/>
    <w:rsid w:val="00963FCC"/>
    <w:rsid w:val="00964B55"/>
    <w:rsid w:val="009749F9"/>
    <w:rsid w:val="00992F9E"/>
    <w:rsid w:val="00995EEC"/>
    <w:rsid w:val="009A3F37"/>
    <w:rsid w:val="009B6AAE"/>
    <w:rsid w:val="009C6D1F"/>
    <w:rsid w:val="009D4B91"/>
    <w:rsid w:val="009E08AF"/>
    <w:rsid w:val="009F7309"/>
    <w:rsid w:val="009F7767"/>
    <w:rsid w:val="00A11153"/>
    <w:rsid w:val="00A143D1"/>
    <w:rsid w:val="00A2127D"/>
    <w:rsid w:val="00A37917"/>
    <w:rsid w:val="00A66803"/>
    <w:rsid w:val="00A67ADB"/>
    <w:rsid w:val="00A801BF"/>
    <w:rsid w:val="00A828B4"/>
    <w:rsid w:val="00A912FC"/>
    <w:rsid w:val="00A947E8"/>
    <w:rsid w:val="00A947EF"/>
    <w:rsid w:val="00AA45BE"/>
    <w:rsid w:val="00AC07BB"/>
    <w:rsid w:val="00AE30E5"/>
    <w:rsid w:val="00AE455C"/>
    <w:rsid w:val="00AE7918"/>
    <w:rsid w:val="00AF62AA"/>
    <w:rsid w:val="00B02F56"/>
    <w:rsid w:val="00B06DD6"/>
    <w:rsid w:val="00B14EBC"/>
    <w:rsid w:val="00B17543"/>
    <w:rsid w:val="00B269FD"/>
    <w:rsid w:val="00B3063B"/>
    <w:rsid w:val="00B43601"/>
    <w:rsid w:val="00B47F96"/>
    <w:rsid w:val="00B76303"/>
    <w:rsid w:val="00B87289"/>
    <w:rsid w:val="00BC3314"/>
    <w:rsid w:val="00BC7E6A"/>
    <w:rsid w:val="00BD29B2"/>
    <w:rsid w:val="00BD586B"/>
    <w:rsid w:val="00BE26FB"/>
    <w:rsid w:val="00BE6E85"/>
    <w:rsid w:val="00BF0ED2"/>
    <w:rsid w:val="00C00F08"/>
    <w:rsid w:val="00C02AF0"/>
    <w:rsid w:val="00C137A0"/>
    <w:rsid w:val="00C142A8"/>
    <w:rsid w:val="00C230CB"/>
    <w:rsid w:val="00C31FAC"/>
    <w:rsid w:val="00C320A9"/>
    <w:rsid w:val="00C42733"/>
    <w:rsid w:val="00C54DC0"/>
    <w:rsid w:val="00C60B48"/>
    <w:rsid w:val="00C75139"/>
    <w:rsid w:val="00C91DDB"/>
    <w:rsid w:val="00CA1D90"/>
    <w:rsid w:val="00CB290D"/>
    <w:rsid w:val="00CB2E7B"/>
    <w:rsid w:val="00CD3FD7"/>
    <w:rsid w:val="00CD49FA"/>
    <w:rsid w:val="00CD65AA"/>
    <w:rsid w:val="00CD766A"/>
    <w:rsid w:val="00CD77B9"/>
    <w:rsid w:val="00CE64A4"/>
    <w:rsid w:val="00CE6C44"/>
    <w:rsid w:val="00CF05D3"/>
    <w:rsid w:val="00D02606"/>
    <w:rsid w:val="00D0514A"/>
    <w:rsid w:val="00D13632"/>
    <w:rsid w:val="00D35091"/>
    <w:rsid w:val="00D42114"/>
    <w:rsid w:val="00D4328A"/>
    <w:rsid w:val="00D4396D"/>
    <w:rsid w:val="00D5029F"/>
    <w:rsid w:val="00D60041"/>
    <w:rsid w:val="00D62508"/>
    <w:rsid w:val="00D64289"/>
    <w:rsid w:val="00D7244B"/>
    <w:rsid w:val="00D72D15"/>
    <w:rsid w:val="00D91003"/>
    <w:rsid w:val="00DA1785"/>
    <w:rsid w:val="00DA4B4E"/>
    <w:rsid w:val="00DB2E2D"/>
    <w:rsid w:val="00DB6CC1"/>
    <w:rsid w:val="00DC35D1"/>
    <w:rsid w:val="00DC559A"/>
    <w:rsid w:val="00DD323C"/>
    <w:rsid w:val="00DE456D"/>
    <w:rsid w:val="00DF36B0"/>
    <w:rsid w:val="00E015EC"/>
    <w:rsid w:val="00E3333F"/>
    <w:rsid w:val="00E40A86"/>
    <w:rsid w:val="00E419FE"/>
    <w:rsid w:val="00E52153"/>
    <w:rsid w:val="00E56EEA"/>
    <w:rsid w:val="00E61BE7"/>
    <w:rsid w:val="00E661C7"/>
    <w:rsid w:val="00E85FDE"/>
    <w:rsid w:val="00E940EB"/>
    <w:rsid w:val="00E94D66"/>
    <w:rsid w:val="00E96644"/>
    <w:rsid w:val="00E974FA"/>
    <w:rsid w:val="00EA3ED5"/>
    <w:rsid w:val="00ED4F35"/>
    <w:rsid w:val="00EF5CBC"/>
    <w:rsid w:val="00F02D41"/>
    <w:rsid w:val="00F11351"/>
    <w:rsid w:val="00F12DC5"/>
    <w:rsid w:val="00F15522"/>
    <w:rsid w:val="00F237C4"/>
    <w:rsid w:val="00F313D4"/>
    <w:rsid w:val="00F3485F"/>
    <w:rsid w:val="00F358A9"/>
    <w:rsid w:val="00F36ACA"/>
    <w:rsid w:val="00F4017D"/>
    <w:rsid w:val="00F42DD4"/>
    <w:rsid w:val="00F54D5C"/>
    <w:rsid w:val="00F62245"/>
    <w:rsid w:val="00F67EC8"/>
    <w:rsid w:val="00F72C33"/>
    <w:rsid w:val="00F7333F"/>
    <w:rsid w:val="00F77A03"/>
    <w:rsid w:val="00F84DA1"/>
    <w:rsid w:val="00F96926"/>
    <w:rsid w:val="00F9751B"/>
    <w:rsid w:val="00FA00F2"/>
    <w:rsid w:val="00FA79F7"/>
    <w:rsid w:val="00FB30FD"/>
    <w:rsid w:val="00FB4059"/>
    <w:rsid w:val="00FC0FE3"/>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73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0514A"/>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C559A"/>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 w:type="table" w:styleId="Tablaconcuadrcula">
    <w:name w:val="Table Grid"/>
    <w:basedOn w:val="Tablanormal"/>
    <w:uiPriority w:val="39"/>
    <w:rsid w:val="001B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1B2F10"/>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1B2F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0514A"/>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uiPriority w:val="9"/>
    <w:rsid w:val="00F7333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A2127D"/>
    <w:pPr>
      <w:spacing w:after="100"/>
      <w:ind w:left="220"/>
    </w:pPr>
  </w:style>
  <w:style w:type="character" w:customStyle="1" w:styleId="apple-converted-space">
    <w:name w:val="apple-converted-space"/>
    <w:basedOn w:val="Fuentedeprrafopredeter"/>
    <w:rsid w:val="000A3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3E34-864B-429E-8E5D-68BC1F1B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3</cp:revision>
  <cp:lastPrinted>2018-09-24T22:41:00Z</cp:lastPrinted>
  <dcterms:created xsi:type="dcterms:W3CDTF">2018-10-29T18:38:00Z</dcterms:created>
  <dcterms:modified xsi:type="dcterms:W3CDTF">2018-10-30T23:53:00Z</dcterms:modified>
</cp:coreProperties>
</file>